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14" w:rsidRPr="00112D14" w:rsidRDefault="00112D14" w:rsidP="00112D14">
      <w:pPr>
        <w:rPr>
          <w:rFonts w:asciiTheme="majorHAnsi" w:hAnsiTheme="majorHAnsi"/>
          <w:b/>
          <w:color w:val="0070C0"/>
          <w:sz w:val="20"/>
          <w:szCs w:val="20"/>
        </w:rPr>
      </w:pPr>
    </w:p>
    <w:p w:rsidR="00112D14" w:rsidRPr="00112D14" w:rsidRDefault="00112D14" w:rsidP="00112D14">
      <w:pPr>
        <w:rPr>
          <w:rFonts w:asciiTheme="majorHAnsi" w:hAnsiTheme="majorHAnsi"/>
          <w:b/>
          <w:color w:val="0070C0"/>
        </w:rPr>
      </w:pPr>
    </w:p>
    <w:p w:rsidR="00112D14" w:rsidRPr="00112D14" w:rsidRDefault="00112D14" w:rsidP="00112D14">
      <w:pPr>
        <w:rPr>
          <w:rFonts w:asciiTheme="majorHAnsi" w:hAnsiTheme="majorHAnsi"/>
          <w:b/>
          <w:color w:val="0070C0"/>
        </w:rPr>
      </w:pP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FORORD:</w:t>
      </w:r>
    </w:p>
    <w:p w:rsidR="00112D14" w:rsidRPr="00112D14" w:rsidRDefault="00112D14" w:rsidP="00112D14">
      <w:pPr>
        <w:rPr>
          <w:rFonts w:asciiTheme="majorHAnsi" w:hAnsiTheme="majorHAnsi"/>
          <w:b/>
          <w:color w:val="0070C0"/>
        </w:rPr>
      </w:pPr>
      <w:r w:rsidRPr="00112D14">
        <w:rPr>
          <w:rFonts w:asciiTheme="majorHAnsi" w:hAnsiTheme="majorHAnsi"/>
          <w:b/>
          <w:bCs/>
          <w:color w:val="0070C0"/>
          <w:sz w:val="20"/>
          <w:szCs w:val="20"/>
        </w:rPr>
        <w:t>Vedr.: Forslag til Europa-Parlamentets og Rådets forordning om bevarelse af fiskeressourcerne og beskyttelse af havets økosystemer ved hjælp af tekniske foranstaltninger, om ændring af Rådets forordning (EF) nr. 1967/2006, (EF) nr. 1098/2007, (EF) nr. 1224/2009 og Europa-Parlamentets og Rådets forordning (EU) nr. 1343/2011 og (EU) nr. 1380/2013 og om ophævelse af Rådets forordning (EF) nr. 894/97, (EF) nr. 850/98, (EF) nr. 2549/2000, (EF) nr. 254/2002, (EF) nr. 812/2004 og (EF) nr. 2187/2005 - KOM (2016) 134</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 </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I marts 2016 og marts 2017 udsendte vi en høring om ovenstående forslag. Rådet (ministerrådet) vedtog i maj 2017 sin ”generelle indstilling” og Europa-Parlamentet vedtog i januar måned sin holdning (ændringsforslag). Om kort tid indledes forhandlingerne mellem Rådet og Europa-Parlamentet om forslaget med henblik på en endelig vedtagelse.</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 </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 xml:space="preserve">EU-Kommissionens oprindelige forslag indeholdt forbud mod anvendelse af visse redskaber og bevarelsesmæssige mindstereferencestørrelser, som også skulle gælde det rekreative fiskeri. </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 </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I forhold til de regler, som vil være aktuelle for det rekreative fiskeri, foreslår Rådet at ændre Kommissionens forslag. For det første vil man fjerne det generelle forbud mod fiskeri med harpun i forbindelse med undervandsjagt med iltflasker eller om natten. For det andet skal det være op til de regionale fora at tage stilling til, om bestemmelser om forbud mod fiskeri efter beskyttede arter, havpattedyr og søfugle, fiskeri i følsomme områder, mindstemål samt lukkede områder og lukke perioder også skal gælde for det rekreative fiskeri, når dette fiskeri har en betydelig påvirkning i et givent område. Kommissionen kan vedtage regler herom efter fælles henstilling fra de regionale fora (fx for Østersøen eller Nordsøen/Skagerrak/Kattegat).</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 </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Europa-Parlamentet foreslår, at forordningen generelt også skal gælde for rekreativt fiskeri.</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 </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I april 2017 vedtog et flertal i Folketingets Europaudvalg, at Danmark ikke kunne støtte ”rådets generelle indstilling” med mindre forslaget på en række punkter blev gjort mere fleksibel. Ud fra en samlet vurdering af forhandlingssituationen og de ændringer, som forhandlingerne med Europa-Parlamentet må forventes at medføre, planlægger Udenrigsministeriet at anmode Folketinget om en ændring af regeringens hidtidige mandat, således at Danmark vil kunne støtte det endelige kompromis.</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 </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Vedhæftet findes en opdateret udgave af det tidligere udsendte høringsnotat vedr. forslaget med markering af de ændrede afsnit i marginen. Et kort afsnit om det rekreative fiskeri findes på side 4, 3. afsnit, og under afsnittet Rådet generelle indstilling på side 5, sidste pind.</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 </w:t>
      </w:r>
    </w:p>
    <w:p w:rsidR="00112D14" w:rsidRPr="00112D14" w:rsidRDefault="00112D14" w:rsidP="00112D14">
      <w:pPr>
        <w:rPr>
          <w:rFonts w:asciiTheme="majorHAnsi" w:hAnsiTheme="majorHAnsi"/>
          <w:b/>
          <w:color w:val="0070C0"/>
        </w:rPr>
      </w:pPr>
      <w:r w:rsidRPr="00112D14">
        <w:rPr>
          <w:rFonts w:asciiTheme="majorHAnsi" w:hAnsiTheme="majorHAnsi"/>
          <w:b/>
          <w:color w:val="0070C0"/>
          <w:sz w:val="20"/>
          <w:szCs w:val="20"/>
        </w:rPr>
        <w:t>I forbindelse med den videre behandling af forslaget vil Udenrigsministeriet gerne høre § 7-udvalget om, hvorvidt Europa-Parlamentets forslag giver anledning til fornyede bemærkninger i forhold til de bemærkninger, som blev afgivet i marts 2017.</w:t>
      </w:r>
    </w:p>
    <w:p w:rsidR="00112D14" w:rsidRDefault="00112D14" w:rsidP="00112D14">
      <w:r>
        <w:rPr>
          <w:rFonts w:ascii="Verdana" w:hAnsi="Verdana"/>
          <w:sz w:val="20"/>
          <w:szCs w:val="20"/>
        </w:rPr>
        <w:t> </w:t>
      </w:r>
    </w:p>
    <w:p w:rsidR="00112D14" w:rsidRPr="00112D14" w:rsidRDefault="00112D14" w:rsidP="00112D14">
      <w:pPr>
        <w:rPr>
          <w:rFonts w:ascii="Verdana" w:hAnsi="Verdana"/>
          <w:b/>
          <w:sz w:val="20"/>
          <w:szCs w:val="20"/>
        </w:rPr>
      </w:pPr>
      <w:r w:rsidRPr="00112D14">
        <w:rPr>
          <w:rFonts w:ascii="Verdana" w:hAnsi="Verdana"/>
          <w:b/>
          <w:bCs/>
          <w:sz w:val="20"/>
          <w:szCs w:val="20"/>
        </w:rPr>
        <w:t>Eventuelle bemærkninger</w:t>
      </w:r>
      <w:r w:rsidRPr="00112D14">
        <w:rPr>
          <w:rFonts w:ascii="Verdana" w:hAnsi="Verdana"/>
          <w:b/>
          <w:sz w:val="20"/>
          <w:szCs w:val="20"/>
        </w:rPr>
        <w:t xml:space="preserve"> skal være sendt til Udenrigsministeriet </w:t>
      </w:r>
      <w:r w:rsidRPr="00112D14">
        <w:rPr>
          <w:rFonts w:ascii="Verdana" w:hAnsi="Verdana"/>
          <w:b/>
          <w:bCs/>
          <w:sz w:val="20"/>
          <w:szCs w:val="20"/>
        </w:rPr>
        <w:t>senest mandag den 19. februar 2018, kl. 10.00</w:t>
      </w:r>
      <w:r w:rsidRPr="00112D14">
        <w:rPr>
          <w:rFonts w:ascii="Verdana" w:hAnsi="Verdana"/>
          <w:b/>
          <w:sz w:val="20"/>
          <w:szCs w:val="20"/>
        </w:rPr>
        <w:t>. Svar bedes sendt til Mikkel Stage (</w:t>
      </w:r>
      <w:hyperlink r:id="rId5" w:history="1">
        <w:r w:rsidRPr="00112D14">
          <w:rPr>
            <w:rStyle w:val="Hyperlink"/>
            <w:rFonts w:ascii="Verdana" w:hAnsi="Verdana"/>
            <w:b/>
            <w:sz w:val="20"/>
            <w:szCs w:val="20"/>
          </w:rPr>
          <w:t>mikkst@um.dk</w:t>
        </w:r>
      </w:hyperlink>
      <w:r w:rsidRPr="00112D14">
        <w:rPr>
          <w:rFonts w:ascii="Verdana" w:hAnsi="Verdana"/>
          <w:b/>
          <w:sz w:val="20"/>
          <w:szCs w:val="20"/>
        </w:rPr>
        <w:t>).</w:t>
      </w:r>
    </w:p>
    <w:p w:rsidR="00112D14" w:rsidRPr="00112D14" w:rsidRDefault="00112D14" w:rsidP="00112D14">
      <w:pPr>
        <w:rPr>
          <w:rFonts w:ascii="Arial Black" w:hAnsi="Arial Black"/>
          <w:sz w:val="20"/>
          <w:szCs w:val="20"/>
        </w:rPr>
      </w:pPr>
    </w:p>
    <w:p w:rsidR="00112D14" w:rsidRDefault="00112D14" w:rsidP="00112D14">
      <w:pPr>
        <w:rPr>
          <w:rFonts w:asciiTheme="majorHAnsi" w:hAnsiTheme="majorHAnsi"/>
          <w:b/>
          <w:color w:val="0070C0"/>
          <w:sz w:val="28"/>
          <w:szCs w:val="28"/>
        </w:rPr>
      </w:pPr>
      <w:r w:rsidRPr="00112D14">
        <w:rPr>
          <w:rFonts w:ascii="Arial Black" w:hAnsi="Arial Black"/>
          <w:b/>
          <w:color w:val="0070C0"/>
          <w:sz w:val="28"/>
          <w:szCs w:val="28"/>
        </w:rPr>
        <w:t>LÆS HER:</w:t>
      </w:r>
      <w:r>
        <w:rPr>
          <w:rFonts w:asciiTheme="majorHAnsi" w:hAnsiTheme="majorHAnsi"/>
          <w:b/>
          <w:color w:val="0070C0"/>
          <w:sz w:val="28"/>
          <w:szCs w:val="28"/>
        </w:rPr>
        <w:t xml:space="preserve">  </w:t>
      </w:r>
      <w:r>
        <w:rPr>
          <w:rFonts w:asciiTheme="majorHAnsi" w:hAnsiTheme="majorHAnsi"/>
          <w:b/>
          <w:color w:val="0070C0"/>
          <w:sz w:val="28"/>
          <w:szCs w:val="28"/>
        </w:rPr>
        <w:br/>
      </w:r>
    </w:p>
    <w:tbl>
      <w:tblPr>
        <w:tblW w:w="0" w:type="auto"/>
        <w:tblBorders>
          <w:top w:val="double" w:sz="4" w:space="0" w:color="auto"/>
          <w:bottom w:val="single" w:sz="4" w:space="0" w:color="auto"/>
          <w:insideV w:val="single" w:sz="4" w:space="0" w:color="auto"/>
        </w:tblBorders>
        <w:tblLayout w:type="fixed"/>
        <w:tblLook w:val="0000"/>
      </w:tblPr>
      <w:tblGrid>
        <w:gridCol w:w="921"/>
        <w:gridCol w:w="3969"/>
        <w:gridCol w:w="992"/>
        <w:gridCol w:w="3896"/>
      </w:tblGrid>
      <w:tr w:rsidR="00112D14" w:rsidTr="00D27C85">
        <w:trPr>
          <w:cantSplit/>
          <w:trHeight w:hRule="exact" w:val="340"/>
        </w:trPr>
        <w:tc>
          <w:tcPr>
            <w:tcW w:w="9778" w:type="dxa"/>
            <w:gridSpan w:val="4"/>
            <w:tcBorders>
              <w:top w:val="double" w:sz="4" w:space="0" w:color="auto"/>
              <w:bottom w:val="double" w:sz="4" w:space="0" w:color="auto"/>
            </w:tcBorders>
            <w:vAlign w:val="center"/>
          </w:tcPr>
          <w:p w:rsidR="00112D14" w:rsidRPr="00BB66F3" w:rsidRDefault="00112D14" w:rsidP="00D27C85">
            <w:pPr>
              <w:jc w:val="center"/>
              <w:rPr>
                <w:b/>
              </w:rPr>
            </w:pPr>
            <w:r>
              <w:rPr>
                <w:b/>
              </w:rPr>
              <w:t>HØRINGS</w:t>
            </w:r>
            <w:r w:rsidRPr="00BB66F3">
              <w:rPr>
                <w:b/>
              </w:rPr>
              <w:t>NOTAT</w:t>
            </w:r>
          </w:p>
        </w:tc>
      </w:tr>
      <w:tr w:rsidR="00112D14" w:rsidTr="00D27C85">
        <w:trPr>
          <w:cantSplit/>
          <w:trHeight w:val="293"/>
        </w:trPr>
        <w:tc>
          <w:tcPr>
            <w:tcW w:w="4890" w:type="dxa"/>
            <w:gridSpan w:val="2"/>
            <w:tcBorders>
              <w:top w:val="nil"/>
              <w:bottom w:val="nil"/>
              <w:right w:val="nil"/>
            </w:tcBorders>
            <w:tcMar>
              <w:left w:w="108" w:type="dxa"/>
              <w:right w:w="108" w:type="dxa"/>
            </w:tcMar>
          </w:tcPr>
          <w:p w:rsidR="00112D14" w:rsidRDefault="00112D14" w:rsidP="00D27C85">
            <w:pPr>
              <w:pStyle w:val="Sidehoved"/>
              <w:tabs>
                <w:tab w:val="clear" w:pos="4819"/>
                <w:tab w:val="clear" w:pos="9638"/>
              </w:tabs>
            </w:pPr>
          </w:p>
        </w:tc>
        <w:tc>
          <w:tcPr>
            <w:tcW w:w="4888" w:type="dxa"/>
            <w:gridSpan w:val="2"/>
            <w:vMerge w:val="restart"/>
            <w:tcBorders>
              <w:top w:val="nil"/>
              <w:left w:val="nil"/>
            </w:tcBorders>
            <w:tcMar>
              <w:left w:w="108" w:type="dxa"/>
              <w:right w:w="108" w:type="dxa"/>
            </w:tcMar>
          </w:tcPr>
          <w:p w:rsidR="00112D14" w:rsidRDefault="00112D14" w:rsidP="00D27C85"/>
        </w:tc>
      </w:tr>
      <w:tr w:rsidR="00112D14" w:rsidTr="00D27C85">
        <w:trPr>
          <w:cantSplit/>
          <w:trHeight w:val="292"/>
        </w:trPr>
        <w:tc>
          <w:tcPr>
            <w:tcW w:w="4890" w:type="dxa"/>
            <w:gridSpan w:val="2"/>
            <w:tcBorders>
              <w:top w:val="nil"/>
              <w:bottom w:val="nil"/>
              <w:right w:val="nil"/>
            </w:tcBorders>
            <w:tcMar>
              <w:left w:w="108" w:type="dxa"/>
              <w:right w:w="108" w:type="dxa"/>
            </w:tcMar>
          </w:tcPr>
          <w:p w:rsidR="00112D14" w:rsidRPr="003F2698" w:rsidRDefault="00112D14" w:rsidP="00D27C85">
            <w:pPr>
              <w:pStyle w:val="Sidehoved"/>
              <w:tabs>
                <w:tab w:val="clear" w:pos="4819"/>
                <w:tab w:val="clear" w:pos="9638"/>
              </w:tabs>
            </w:pPr>
          </w:p>
        </w:tc>
        <w:tc>
          <w:tcPr>
            <w:tcW w:w="4888" w:type="dxa"/>
            <w:gridSpan w:val="2"/>
            <w:vMerge/>
            <w:tcBorders>
              <w:left w:val="nil"/>
              <w:bottom w:val="nil"/>
            </w:tcBorders>
            <w:tcMar>
              <w:left w:w="108" w:type="dxa"/>
              <w:right w:w="108" w:type="dxa"/>
            </w:tcMar>
          </w:tcPr>
          <w:p w:rsidR="00112D14" w:rsidRDefault="00112D14" w:rsidP="00D27C85"/>
        </w:tc>
      </w:tr>
      <w:tr w:rsidR="00112D14" w:rsidTr="00D27C85">
        <w:trPr>
          <w:cantSplit/>
          <w:trHeight w:val="539"/>
        </w:trPr>
        <w:tc>
          <w:tcPr>
            <w:tcW w:w="921" w:type="dxa"/>
            <w:tcBorders>
              <w:top w:val="nil"/>
              <w:bottom w:val="nil"/>
              <w:right w:val="nil"/>
            </w:tcBorders>
          </w:tcPr>
          <w:p w:rsidR="00112D14" w:rsidRDefault="00112D14" w:rsidP="00D27C85">
            <w:pPr>
              <w:rPr>
                <w:sz w:val="18"/>
              </w:rPr>
            </w:pPr>
            <w:r>
              <w:rPr>
                <w:sz w:val="18"/>
              </w:rPr>
              <w:t>Til:</w:t>
            </w:r>
          </w:p>
        </w:tc>
        <w:tc>
          <w:tcPr>
            <w:tcW w:w="3969" w:type="dxa"/>
            <w:tcBorders>
              <w:top w:val="nil"/>
              <w:left w:val="nil"/>
              <w:bottom w:val="nil"/>
              <w:right w:val="nil"/>
            </w:tcBorders>
          </w:tcPr>
          <w:p w:rsidR="00112D14" w:rsidRDefault="00112D14" w:rsidP="00D27C85">
            <w:r>
              <w:t>§ 5-udvalget (fiskeri) og</w:t>
            </w:r>
          </w:p>
          <w:p w:rsidR="00112D14" w:rsidRPr="00000A05" w:rsidRDefault="00112D14" w:rsidP="00D27C85">
            <w:r>
              <w:t>§ 7-udvalget (Rekreativt fiskeri, ferskvandsfiskeri og fiskepleje)</w:t>
            </w:r>
          </w:p>
        </w:tc>
        <w:tc>
          <w:tcPr>
            <w:tcW w:w="992" w:type="dxa"/>
            <w:tcBorders>
              <w:top w:val="nil"/>
              <w:left w:val="nil"/>
              <w:bottom w:val="nil"/>
              <w:right w:val="nil"/>
            </w:tcBorders>
          </w:tcPr>
          <w:p w:rsidR="00112D14" w:rsidRDefault="00112D14" w:rsidP="00D27C85">
            <w:pPr>
              <w:rPr>
                <w:sz w:val="18"/>
              </w:rPr>
            </w:pPr>
            <w:r>
              <w:rPr>
                <w:sz w:val="18"/>
              </w:rPr>
              <w:t>J.nr.:</w:t>
            </w:r>
          </w:p>
        </w:tc>
        <w:tc>
          <w:tcPr>
            <w:tcW w:w="3896" w:type="dxa"/>
            <w:tcBorders>
              <w:top w:val="nil"/>
              <w:left w:val="nil"/>
              <w:bottom w:val="nil"/>
            </w:tcBorders>
          </w:tcPr>
          <w:p w:rsidR="00112D14" w:rsidRDefault="00112D14" w:rsidP="00D27C85">
            <w:r>
              <w:t>2018-6332</w:t>
            </w:r>
          </w:p>
        </w:tc>
      </w:tr>
      <w:tr w:rsidR="00112D14" w:rsidTr="00D27C85">
        <w:trPr>
          <w:cantSplit/>
          <w:trHeight w:hRule="exact" w:val="539"/>
        </w:trPr>
        <w:tc>
          <w:tcPr>
            <w:tcW w:w="921" w:type="dxa"/>
            <w:tcBorders>
              <w:top w:val="nil"/>
              <w:bottom w:val="nil"/>
              <w:right w:val="nil"/>
            </w:tcBorders>
          </w:tcPr>
          <w:p w:rsidR="00112D14" w:rsidRDefault="00112D14" w:rsidP="00D27C85">
            <w:pPr>
              <w:rPr>
                <w:sz w:val="18"/>
              </w:rPr>
            </w:pPr>
            <w:r>
              <w:rPr>
                <w:sz w:val="18"/>
              </w:rPr>
              <w:t>CC:</w:t>
            </w:r>
          </w:p>
        </w:tc>
        <w:tc>
          <w:tcPr>
            <w:tcW w:w="3969" w:type="dxa"/>
            <w:tcBorders>
              <w:top w:val="nil"/>
              <w:left w:val="nil"/>
              <w:bottom w:val="nil"/>
              <w:right w:val="nil"/>
            </w:tcBorders>
          </w:tcPr>
          <w:p w:rsidR="00112D14" w:rsidRDefault="00112D14" w:rsidP="00D27C85"/>
        </w:tc>
        <w:tc>
          <w:tcPr>
            <w:tcW w:w="992" w:type="dxa"/>
            <w:tcBorders>
              <w:top w:val="nil"/>
              <w:left w:val="nil"/>
              <w:bottom w:val="nil"/>
              <w:right w:val="nil"/>
            </w:tcBorders>
          </w:tcPr>
          <w:p w:rsidR="00112D14" w:rsidRDefault="00112D14" w:rsidP="00D27C85">
            <w:pPr>
              <w:rPr>
                <w:sz w:val="18"/>
              </w:rPr>
            </w:pPr>
            <w:r>
              <w:rPr>
                <w:sz w:val="18"/>
              </w:rPr>
              <w:t>Bilag:</w:t>
            </w:r>
          </w:p>
        </w:tc>
        <w:tc>
          <w:tcPr>
            <w:tcW w:w="3896" w:type="dxa"/>
            <w:tcBorders>
              <w:top w:val="nil"/>
              <w:left w:val="nil"/>
              <w:bottom w:val="nil"/>
            </w:tcBorders>
          </w:tcPr>
          <w:p w:rsidR="00112D14" w:rsidRDefault="00112D14" w:rsidP="00D27C85">
            <w:r>
              <w:t>-</w:t>
            </w:r>
          </w:p>
        </w:tc>
      </w:tr>
      <w:tr w:rsidR="00112D14" w:rsidTr="00D27C85">
        <w:trPr>
          <w:cantSplit/>
          <w:trHeight w:hRule="exact" w:val="539"/>
        </w:trPr>
        <w:tc>
          <w:tcPr>
            <w:tcW w:w="921" w:type="dxa"/>
            <w:tcBorders>
              <w:top w:val="nil"/>
              <w:bottom w:val="nil"/>
              <w:right w:val="nil"/>
            </w:tcBorders>
          </w:tcPr>
          <w:p w:rsidR="00112D14" w:rsidRDefault="00112D14" w:rsidP="00D27C85">
            <w:pPr>
              <w:rPr>
                <w:sz w:val="18"/>
              </w:rPr>
            </w:pPr>
            <w:r>
              <w:rPr>
                <w:sz w:val="18"/>
              </w:rPr>
              <w:t>Fra:</w:t>
            </w:r>
          </w:p>
        </w:tc>
        <w:tc>
          <w:tcPr>
            <w:tcW w:w="3969" w:type="dxa"/>
            <w:tcBorders>
              <w:top w:val="nil"/>
              <w:left w:val="nil"/>
              <w:bottom w:val="nil"/>
              <w:right w:val="nil"/>
            </w:tcBorders>
          </w:tcPr>
          <w:p w:rsidR="00112D14" w:rsidRDefault="00112D14" w:rsidP="00D27C85">
            <w:r w:rsidRPr="00BB66F3">
              <w:t>Fiskeri</w:t>
            </w:r>
            <w:r>
              <w:t>politisk kontor</w:t>
            </w:r>
          </w:p>
          <w:p w:rsidR="00112D14" w:rsidRDefault="00112D14" w:rsidP="00D27C85"/>
          <w:p w:rsidR="00112D14" w:rsidRDefault="00112D14" w:rsidP="00D27C85"/>
        </w:tc>
        <w:tc>
          <w:tcPr>
            <w:tcW w:w="992" w:type="dxa"/>
            <w:tcBorders>
              <w:top w:val="nil"/>
              <w:left w:val="nil"/>
              <w:bottom w:val="nil"/>
              <w:right w:val="nil"/>
            </w:tcBorders>
          </w:tcPr>
          <w:p w:rsidR="00112D14" w:rsidRDefault="00112D14" w:rsidP="00D27C85">
            <w:pPr>
              <w:rPr>
                <w:sz w:val="18"/>
              </w:rPr>
            </w:pPr>
            <w:r>
              <w:rPr>
                <w:sz w:val="18"/>
              </w:rPr>
              <w:t>Dato:</w:t>
            </w:r>
          </w:p>
        </w:tc>
        <w:tc>
          <w:tcPr>
            <w:tcW w:w="3896" w:type="dxa"/>
            <w:tcBorders>
              <w:top w:val="nil"/>
              <w:left w:val="nil"/>
              <w:bottom w:val="nil"/>
            </w:tcBorders>
          </w:tcPr>
          <w:p w:rsidR="00112D14" w:rsidRDefault="00112D14" w:rsidP="00D27C85">
            <w:r>
              <w:t>12-02-2018</w:t>
            </w:r>
          </w:p>
        </w:tc>
      </w:tr>
      <w:tr w:rsidR="00112D14" w:rsidTr="00D27C85">
        <w:trPr>
          <w:cantSplit/>
        </w:trPr>
        <w:tc>
          <w:tcPr>
            <w:tcW w:w="921" w:type="dxa"/>
            <w:tcBorders>
              <w:top w:val="nil"/>
              <w:bottom w:val="single" w:sz="8" w:space="0" w:color="auto"/>
              <w:right w:val="nil"/>
            </w:tcBorders>
          </w:tcPr>
          <w:p w:rsidR="00112D14" w:rsidRPr="002F0D15" w:rsidRDefault="00112D14" w:rsidP="00D27C85">
            <w:pPr>
              <w:rPr>
                <w:szCs w:val="26"/>
              </w:rPr>
            </w:pPr>
            <w:r w:rsidRPr="002F0D15">
              <w:rPr>
                <w:szCs w:val="26"/>
              </w:rPr>
              <w:lastRenderedPageBreak/>
              <w:t>Emne:</w:t>
            </w:r>
          </w:p>
        </w:tc>
        <w:tc>
          <w:tcPr>
            <w:tcW w:w="8857" w:type="dxa"/>
            <w:gridSpan w:val="3"/>
            <w:tcBorders>
              <w:top w:val="nil"/>
              <w:left w:val="nil"/>
              <w:bottom w:val="single" w:sz="8" w:space="0" w:color="auto"/>
            </w:tcBorders>
          </w:tcPr>
          <w:p w:rsidR="00112D14" w:rsidRPr="00C2490C" w:rsidRDefault="00112D14" w:rsidP="00D27C85">
            <w:pPr>
              <w:tabs>
                <w:tab w:val="num" w:pos="993"/>
              </w:tabs>
              <w:rPr>
                <w:szCs w:val="26"/>
              </w:rPr>
            </w:pPr>
            <w:r w:rsidRPr="00C2490C">
              <w:rPr>
                <w:rFonts w:cstheme="minorBidi"/>
                <w:szCs w:val="26"/>
              </w:rPr>
              <w:t>Forslag til Europa-Parlamentets og Rådets forordning om bevarelse af fiskeressourcerne og beskyttelse af havets økosystemer ved hjælp af tekniske foranstaltninger, om ændring af Rådets forordning (EF) nr. 1967/2006, (EF) nr. 1098/2007, (EF) nr. 1224/2009 og Europa-Parlamentets og Rådets forordning (EU) nr. 1343/2011 og (EU) nr. 1380/2013 og om ophævelse af Rådets forordning (EF) nr. 894/97, (EF) nr. 850/98, (EF) nr. 2549/2000, (EF) nr. 254/2002, (EF) nr. 812/2004 og (EF) nr. 2187/2005</w:t>
            </w:r>
          </w:p>
        </w:tc>
      </w:tr>
    </w:tbl>
    <w:p w:rsidR="00112D14" w:rsidRDefault="00112D14" w:rsidP="00112D14"/>
    <w:p w:rsidR="00112D14" w:rsidRDefault="00112D14" w:rsidP="00112D14">
      <w:pPr>
        <w:rPr>
          <w:rFonts w:eastAsia="SimSun"/>
          <w:szCs w:val="26"/>
          <w:lang w:eastAsia="da-DK"/>
        </w:rPr>
      </w:pPr>
      <w:bookmarkStart w:id="0" w:name="StartHer"/>
      <w:bookmarkEnd w:id="0"/>
      <w:r>
        <w:rPr>
          <w:rFonts w:eastAsia="SimSun"/>
          <w:szCs w:val="26"/>
          <w:lang w:eastAsia="da-DK"/>
        </w:rPr>
        <w:t xml:space="preserve">KOM (2016) 134 </w:t>
      </w:r>
    </w:p>
    <w:p w:rsidR="00112D14" w:rsidRPr="000C7EF4" w:rsidRDefault="00112D14" w:rsidP="00112D14">
      <w:pPr>
        <w:rPr>
          <w:rFonts w:eastAsia="SimSun"/>
          <w:szCs w:val="26"/>
          <w:lang w:eastAsia="da-DK"/>
        </w:rPr>
      </w:pPr>
    </w:p>
    <w:p w:rsidR="00112D14" w:rsidRPr="000C7EF4" w:rsidRDefault="00112D14" w:rsidP="00112D14">
      <w:pPr>
        <w:rPr>
          <w:rFonts w:eastAsia="SimSun"/>
          <w:b/>
          <w:szCs w:val="26"/>
          <w:lang w:eastAsia="da-DK"/>
        </w:rPr>
      </w:pPr>
      <w:r w:rsidRPr="000C7EF4">
        <w:rPr>
          <w:rFonts w:eastAsia="SimSun"/>
          <w:b/>
          <w:szCs w:val="26"/>
          <w:lang w:eastAsia="da-DK"/>
        </w:rPr>
        <w:t>1. Resumé</w:t>
      </w:r>
    </w:p>
    <w:p w:rsidR="00112D14" w:rsidRPr="00C2490C" w:rsidRDefault="00112D14" w:rsidP="00112D14">
      <w:pPr>
        <w:rPr>
          <w:i/>
          <w:szCs w:val="26"/>
        </w:rPr>
      </w:pPr>
      <w:r w:rsidRPr="00C2490C">
        <w:rPr>
          <w:i/>
          <w:szCs w:val="26"/>
        </w:rPr>
        <w:t>Forslaget omhandler regler om tekniske foranstaltninger, som bestemmer, hvordan og hvor fiskerne må fiske. Målsætningen er at regulere den fangst, der kan blive fanget ved en given fiskeriindsats og at begrænse påvirkningen af økosystemerne ved fiskeri. Forslaget tager sigte på at optimere de tekniske foranstaltningers bidrag til realiseringen af målsætningerne i den nye fælles fiskeripolitik. Forslaget understøtter principperne om regionalisering i den nye fælles fiskeripolitik og skaber øget fleksibilitet i regeldannelsen ved at være udformet som en rammeforordning, der indeholder de overordnede mål og generelle principper for de tekniske regler, der skal danne basis for lige rammevilkår (”</w:t>
      </w:r>
      <w:proofErr w:type="spellStart"/>
      <w:r w:rsidRPr="00C2490C">
        <w:rPr>
          <w:i/>
          <w:szCs w:val="26"/>
        </w:rPr>
        <w:t>level</w:t>
      </w:r>
      <w:proofErr w:type="spellEnd"/>
      <w:r w:rsidRPr="00C2490C">
        <w:rPr>
          <w:i/>
          <w:szCs w:val="26"/>
        </w:rPr>
        <w:t xml:space="preserve"> </w:t>
      </w:r>
      <w:proofErr w:type="spellStart"/>
      <w:r w:rsidRPr="00C2490C">
        <w:rPr>
          <w:i/>
          <w:szCs w:val="26"/>
        </w:rPr>
        <w:t>playing</w:t>
      </w:r>
      <w:proofErr w:type="spellEnd"/>
      <w:r w:rsidRPr="00C2490C">
        <w:rPr>
          <w:i/>
          <w:szCs w:val="26"/>
        </w:rPr>
        <w:t xml:space="preserve"> </w:t>
      </w:r>
      <w:proofErr w:type="spellStart"/>
      <w:r w:rsidRPr="00C2490C">
        <w:rPr>
          <w:i/>
          <w:szCs w:val="26"/>
        </w:rPr>
        <w:t>field</w:t>
      </w:r>
      <w:proofErr w:type="spellEnd"/>
      <w:r w:rsidRPr="00C2490C">
        <w:rPr>
          <w:i/>
          <w:szCs w:val="26"/>
        </w:rPr>
        <w:t>”) på tværs af hele EU, mens de detaljerede regionale tekniske regler kan ændres i en regional procedure. Med forslaget forventes en gennemgribende forenkling af de eksisterende regler om tekniske foranstaltninger, der i dag er meget detaljerede og fastsat i mere end 30 forordninger. Beskyttelsesniveauet i Danmark og EU vurderes at forblive uændret med vedtagelse af forslaget.</w:t>
      </w:r>
    </w:p>
    <w:p w:rsidR="00112D14" w:rsidRPr="000C7EF4" w:rsidRDefault="00112D14" w:rsidP="00112D14">
      <w:pPr>
        <w:rPr>
          <w:rFonts w:eastAsia="SimSun"/>
          <w:b/>
          <w:szCs w:val="26"/>
          <w:lang w:eastAsia="da-DK"/>
        </w:rPr>
      </w:pPr>
    </w:p>
    <w:p w:rsidR="00112D14" w:rsidRPr="000C7EF4" w:rsidRDefault="00112D14" w:rsidP="00112D14">
      <w:pPr>
        <w:rPr>
          <w:rFonts w:eastAsia="SimSun"/>
          <w:b/>
          <w:szCs w:val="26"/>
          <w:lang w:eastAsia="da-DK"/>
        </w:rPr>
      </w:pPr>
      <w:r w:rsidRPr="000C7EF4">
        <w:rPr>
          <w:rFonts w:eastAsia="SimSun"/>
          <w:b/>
          <w:szCs w:val="26"/>
          <w:lang w:eastAsia="da-DK"/>
        </w:rPr>
        <w:t>2. Baggrund</w:t>
      </w:r>
    </w:p>
    <w:p w:rsidR="00112D14" w:rsidRPr="00C2490C" w:rsidRDefault="00112D14" w:rsidP="00112D14">
      <w:pPr>
        <w:outlineLvl w:val="0"/>
        <w:rPr>
          <w:szCs w:val="26"/>
        </w:rPr>
      </w:pPr>
      <w:r w:rsidRPr="00C2490C">
        <w:rPr>
          <w:szCs w:val="26"/>
        </w:rPr>
        <w:t xml:space="preserve">Kommissionen har ved KOM (2016) 134 af 11. marts 2016 fremsendt forslag til Europa-Parlamentets og Rådets forordning om bevarelse af fiskeressourcerne og beskyttelse af havets økosystemer ved hjælp af tekniske foranstaltninger, om ændring af Rådets forordning (EF) nr. 1967/2006, (EF) nr. 1098/2007, (EF) nr. 1224/2009 og Europa-Parlamentets og Rådets forordning (EU) nr. 1343/2011 og (EU) nr. 1380/2013 og om ophævelse af Rådets forordning (EF) nr. 894/97, (EF) nr. 850/98, (EF) nr. 2549/2000, (EF) nr. 254/2002, (EF) nr. 812/2004 og (EF) nr. 2187/2005. Forslaget er modtaget i en dansk sprogversion den 14. marts 2016 fra </w:t>
      </w:r>
      <w:proofErr w:type="spellStart"/>
      <w:r w:rsidRPr="00C2490C">
        <w:rPr>
          <w:szCs w:val="26"/>
        </w:rPr>
        <w:t>Rådssekretariatet</w:t>
      </w:r>
      <w:proofErr w:type="spellEnd"/>
      <w:r w:rsidRPr="00C2490C">
        <w:rPr>
          <w:szCs w:val="26"/>
        </w:rPr>
        <w:t>.</w:t>
      </w:r>
    </w:p>
    <w:p w:rsidR="00112D14" w:rsidRPr="00C2490C" w:rsidRDefault="00112D14" w:rsidP="00112D14">
      <w:pPr>
        <w:outlineLvl w:val="0"/>
        <w:rPr>
          <w:szCs w:val="26"/>
        </w:rPr>
      </w:pPr>
    </w:p>
    <w:p w:rsidR="00112D14" w:rsidRPr="00C2490C" w:rsidRDefault="00112D14" w:rsidP="00112D14">
      <w:pPr>
        <w:rPr>
          <w:szCs w:val="26"/>
        </w:rPr>
      </w:pPr>
      <w:r w:rsidRPr="00C2490C">
        <w:rPr>
          <w:szCs w:val="26"/>
        </w:rPr>
        <w:t>Forslaget er fremsat med hjemmel i TEUF artikel 43, stk. 2, og skal behandles efter proceduren for den almindelige lovgivningsprocedure i TEUF artikel 294.</w:t>
      </w:r>
    </w:p>
    <w:p w:rsidR="00112D14" w:rsidRPr="00C2490C" w:rsidRDefault="00112D14" w:rsidP="00112D14">
      <w:pPr>
        <w:rPr>
          <w:szCs w:val="26"/>
        </w:rPr>
      </w:pPr>
    </w:p>
    <w:p w:rsidR="00112D14" w:rsidRDefault="00112D14" w:rsidP="00112D14">
      <w:pPr>
        <w:pBdr>
          <w:left w:val="single" w:sz="4" w:space="4" w:color="auto"/>
        </w:pBdr>
        <w:rPr>
          <w:szCs w:val="26"/>
        </w:rPr>
      </w:pPr>
      <w:r w:rsidRPr="0037696B">
        <w:rPr>
          <w:szCs w:val="26"/>
        </w:rPr>
        <w:t>Forslaget blev behandlet på rådsmødet (landbrug og fiskeri) den 11. maj 2017, hvor Rådet vedtog generel indstilling.</w:t>
      </w:r>
    </w:p>
    <w:p w:rsidR="00112D14" w:rsidRDefault="00112D14" w:rsidP="00112D14">
      <w:pPr>
        <w:rPr>
          <w:szCs w:val="26"/>
        </w:rPr>
      </w:pPr>
    </w:p>
    <w:p w:rsidR="00112D14" w:rsidRPr="00C2490C" w:rsidRDefault="00112D14" w:rsidP="00112D14">
      <w:pPr>
        <w:pBdr>
          <w:left w:val="single" w:sz="4" w:space="4" w:color="auto"/>
        </w:pBdr>
        <w:rPr>
          <w:szCs w:val="26"/>
        </w:rPr>
      </w:pPr>
      <w:r>
        <w:rPr>
          <w:szCs w:val="26"/>
        </w:rPr>
        <w:t xml:space="preserve">Forslaget forventes præsenteret på et møde i </w:t>
      </w:r>
      <w:proofErr w:type="spellStart"/>
      <w:r>
        <w:rPr>
          <w:szCs w:val="26"/>
        </w:rPr>
        <w:t>Coreper</w:t>
      </w:r>
      <w:proofErr w:type="spellEnd"/>
      <w:r>
        <w:rPr>
          <w:szCs w:val="26"/>
        </w:rPr>
        <w:t xml:space="preserve"> primo marts 2018 med henblik på at giver formandskabet mandat til at indlede </w:t>
      </w:r>
      <w:proofErr w:type="spellStart"/>
      <w:r>
        <w:rPr>
          <w:szCs w:val="26"/>
        </w:rPr>
        <w:t>trilogforhandlinger</w:t>
      </w:r>
      <w:proofErr w:type="spellEnd"/>
      <w:r>
        <w:rPr>
          <w:szCs w:val="26"/>
        </w:rPr>
        <w:t xml:space="preserve"> med Europa-Parlamentet om forslaget. </w:t>
      </w:r>
    </w:p>
    <w:p w:rsidR="00112D14" w:rsidRPr="00C2490C" w:rsidRDefault="00112D14" w:rsidP="00112D14">
      <w:pPr>
        <w:rPr>
          <w:rFonts w:eastAsia="SimSun"/>
          <w:i/>
          <w:szCs w:val="26"/>
          <w:lang w:eastAsia="da-DK"/>
        </w:rPr>
      </w:pPr>
    </w:p>
    <w:p w:rsidR="00112D14" w:rsidRDefault="00112D14" w:rsidP="00112D14">
      <w:pPr>
        <w:rPr>
          <w:szCs w:val="26"/>
          <w:lang w:eastAsia="da-DK"/>
        </w:rPr>
      </w:pPr>
      <w:r w:rsidRPr="000C7EF4">
        <w:rPr>
          <w:rFonts w:eastAsia="SimSun"/>
          <w:b/>
          <w:szCs w:val="26"/>
          <w:lang w:eastAsia="da-DK"/>
        </w:rPr>
        <w:t>3. Formål og indhold</w:t>
      </w:r>
    </w:p>
    <w:p w:rsidR="00112D14" w:rsidRPr="00F934E1" w:rsidRDefault="00112D14" w:rsidP="00112D14">
      <w:pPr>
        <w:rPr>
          <w:szCs w:val="26"/>
        </w:rPr>
      </w:pPr>
      <w:r w:rsidRPr="00F934E1">
        <w:rPr>
          <w:szCs w:val="26"/>
        </w:rPr>
        <w:t xml:space="preserve">Som led i gennemførelsen af reformen af den fælles fiskeripolitik har Kommissionen iværksat en revision af de grundlæggende regelsæt inden for den fælles fiskeripolitik. Dette forslag er et led i denne revision. Regelsættene for tekniske foranstaltninger har hidtil været fastsat i en lang række forordninger, ændringer hertil og gennemførelsesbestemmelser. Der er i dag over 30 forordninger med tekniske foranstaltninger, som finder anvendelse på EU's havområder og de farvande uden for EU, hvor EU-fartøjer fisker. </w:t>
      </w:r>
    </w:p>
    <w:p w:rsidR="00112D14" w:rsidRPr="00F934E1" w:rsidRDefault="00112D14" w:rsidP="00112D14">
      <w:pPr>
        <w:rPr>
          <w:szCs w:val="26"/>
        </w:rPr>
      </w:pPr>
    </w:p>
    <w:p w:rsidR="00112D14" w:rsidRPr="00F934E1" w:rsidRDefault="00112D14" w:rsidP="00112D14">
      <w:pPr>
        <w:rPr>
          <w:szCs w:val="26"/>
        </w:rPr>
      </w:pPr>
      <w:r w:rsidRPr="00F934E1">
        <w:rPr>
          <w:szCs w:val="26"/>
        </w:rPr>
        <w:t xml:space="preserve">Kommissionen har inden udarbejdelsen af forslaget gennemført en evaluering af det eksisterende regelsæt og gennemført en offentlig høring om udformningen af de fremtidige regler. Evalueringen viste, at de gældende tekniske foranstaltninger for en stor dels vedkommende ikke har opfyldt de mål, der var fastsat i den tidligere fælles fiskeripolitik i Rådets forordning 2371/2002. Den generelle opfattelse er, at foranstaltningerne er komplicerede og ineffektive, at strukturen og vedtagelsesprocedurerne er ufleksibel og tung, og at der mangler interessentinddragelse i beslutningsprocessen. Det konkluderes også, at den nuværende lovgivningsstruktur fortsat vil være utilfredsstillende set i lyset af de udfordringer, der følger af grundforordningen for den nye fælles fiskeripolitik. </w:t>
      </w:r>
    </w:p>
    <w:p w:rsidR="00112D14" w:rsidRPr="00F934E1" w:rsidRDefault="00112D14" w:rsidP="00112D14">
      <w:pPr>
        <w:rPr>
          <w:szCs w:val="26"/>
        </w:rPr>
      </w:pPr>
    </w:p>
    <w:p w:rsidR="00112D14" w:rsidRPr="00F934E1" w:rsidRDefault="00112D14" w:rsidP="00112D14">
      <w:pPr>
        <w:rPr>
          <w:szCs w:val="26"/>
        </w:rPr>
      </w:pPr>
      <w:r w:rsidRPr="00F934E1">
        <w:rPr>
          <w:szCs w:val="26"/>
        </w:rPr>
        <w:t xml:space="preserve">Forslaget omhandler regler om tekniske foranstaltninger, som bestemmer, hvordan og hvor fiskerne må fiske. Målsætningen er at regulere den fangst, der kan blive fanget ved en given fiskeriindsats og at begrænse påvirkningen af økosystemerne ved fiskeri. </w:t>
      </w:r>
    </w:p>
    <w:p w:rsidR="00112D14" w:rsidRPr="00F934E1" w:rsidRDefault="00112D14" w:rsidP="00112D14">
      <w:pPr>
        <w:rPr>
          <w:szCs w:val="26"/>
        </w:rPr>
      </w:pPr>
    </w:p>
    <w:p w:rsidR="00112D14" w:rsidRPr="00F934E1" w:rsidRDefault="00112D14" w:rsidP="00112D14">
      <w:pPr>
        <w:rPr>
          <w:noProof/>
          <w:szCs w:val="26"/>
        </w:rPr>
      </w:pPr>
      <w:r w:rsidRPr="00F934E1">
        <w:rPr>
          <w:szCs w:val="26"/>
        </w:rPr>
        <w:t xml:space="preserve">Reglerne om tekniske foranstaltninger er således en integreret del af det samlede regelsæt, der skal bidrage til at </w:t>
      </w:r>
      <w:r w:rsidRPr="00F934E1">
        <w:rPr>
          <w:noProof/>
          <w:szCs w:val="26"/>
        </w:rPr>
        <w:t xml:space="preserve">realisere de overordnede mål i reformen af </w:t>
      </w:r>
      <w:r w:rsidRPr="00F934E1">
        <w:rPr>
          <w:szCs w:val="26"/>
        </w:rPr>
        <w:t xml:space="preserve">EU's fælles fiskeripolitik i Europa-Parlamentets og Rådets forordning 1380/2013 (”Grundforordningen”) om at fiske efter princippet om </w:t>
      </w:r>
      <w:r w:rsidRPr="00F934E1">
        <w:rPr>
          <w:noProof/>
          <w:szCs w:val="26"/>
        </w:rPr>
        <w:t>maksimalt bæredygtig udbytte (MSY) og med en gradvis udfasning af udsmid og reduktion af uønskede fangster, og at fiskeriet foregår i overensstemmelse med de mere overordnede miljøhensyn ved at begrænse fiskeredskabernes påvirkning på økosystemet mest muligt.</w:t>
      </w:r>
    </w:p>
    <w:p w:rsidR="00112D14" w:rsidRPr="00F934E1" w:rsidRDefault="00112D14" w:rsidP="00112D14">
      <w:pPr>
        <w:rPr>
          <w:szCs w:val="26"/>
        </w:rPr>
      </w:pPr>
    </w:p>
    <w:p w:rsidR="00112D14" w:rsidRPr="00F934E1" w:rsidRDefault="00112D14" w:rsidP="00112D14">
      <w:pPr>
        <w:rPr>
          <w:szCs w:val="26"/>
        </w:rPr>
      </w:pPr>
      <w:r w:rsidRPr="00F934E1">
        <w:rPr>
          <w:szCs w:val="26"/>
        </w:rPr>
        <w:t>Foranstaltningerne kan blandt andet omfatte:</w:t>
      </w:r>
    </w:p>
    <w:p w:rsidR="00112D14" w:rsidRPr="00F934E1" w:rsidRDefault="00112D14" w:rsidP="00112D14">
      <w:pPr>
        <w:numPr>
          <w:ilvl w:val="0"/>
          <w:numId w:val="1"/>
        </w:numPr>
        <w:contextualSpacing/>
        <w:rPr>
          <w:szCs w:val="26"/>
        </w:rPr>
      </w:pPr>
      <w:r w:rsidRPr="00F934E1">
        <w:rPr>
          <w:szCs w:val="26"/>
        </w:rPr>
        <w:t>Foranstaltninger, der regulerer anvendelse af fiskeredskaber.</w:t>
      </w:r>
    </w:p>
    <w:p w:rsidR="00112D14" w:rsidRPr="00F934E1" w:rsidRDefault="00112D14" w:rsidP="00112D14">
      <w:pPr>
        <w:numPr>
          <w:ilvl w:val="0"/>
          <w:numId w:val="1"/>
        </w:numPr>
        <w:contextualSpacing/>
        <w:rPr>
          <w:szCs w:val="26"/>
        </w:rPr>
      </w:pPr>
      <w:r w:rsidRPr="00F934E1">
        <w:rPr>
          <w:szCs w:val="26"/>
        </w:rPr>
        <w:t>Foranstaltninger, der regulerer udformningen af de redskaber, der anvendes.</w:t>
      </w:r>
    </w:p>
    <w:p w:rsidR="00112D14" w:rsidRPr="00F934E1" w:rsidRDefault="00112D14" w:rsidP="00112D14">
      <w:pPr>
        <w:numPr>
          <w:ilvl w:val="0"/>
          <w:numId w:val="1"/>
        </w:numPr>
        <w:contextualSpacing/>
        <w:rPr>
          <w:szCs w:val="26"/>
        </w:rPr>
      </w:pPr>
      <w:r w:rsidRPr="00F934E1">
        <w:rPr>
          <w:szCs w:val="26"/>
        </w:rPr>
        <w:t>Bevarelsesmæssige mindstereferencestørrelser.</w:t>
      </w:r>
    </w:p>
    <w:p w:rsidR="00112D14" w:rsidRPr="00F934E1" w:rsidRDefault="00112D14" w:rsidP="00112D14">
      <w:pPr>
        <w:numPr>
          <w:ilvl w:val="0"/>
          <w:numId w:val="1"/>
        </w:numPr>
        <w:contextualSpacing/>
        <w:rPr>
          <w:szCs w:val="26"/>
        </w:rPr>
      </w:pPr>
      <w:r w:rsidRPr="00F934E1">
        <w:rPr>
          <w:szCs w:val="26"/>
        </w:rPr>
        <w:t>Foranstaltninger, der fastlægger geografiske og tidsmæssige begrænsninger for fiskeriet for at beskytte særlige store forekomster af unge fisk og gydefisk.</w:t>
      </w:r>
    </w:p>
    <w:p w:rsidR="00112D14" w:rsidRPr="00F934E1" w:rsidRDefault="00112D14" w:rsidP="00112D14">
      <w:pPr>
        <w:numPr>
          <w:ilvl w:val="0"/>
          <w:numId w:val="1"/>
        </w:numPr>
        <w:contextualSpacing/>
        <w:rPr>
          <w:szCs w:val="26"/>
        </w:rPr>
      </w:pPr>
      <w:r w:rsidRPr="00F934E1">
        <w:rPr>
          <w:szCs w:val="26"/>
        </w:rPr>
        <w:t>Foranstaltninger for at modvirke påvirkningen af fiskeri på sårbare arter og beskyttede områder af hensyn til særligt sårbare arter.</w:t>
      </w:r>
    </w:p>
    <w:p w:rsidR="00112D14" w:rsidRPr="00F934E1" w:rsidRDefault="00112D14" w:rsidP="00112D14">
      <w:pPr>
        <w:rPr>
          <w:szCs w:val="26"/>
        </w:rPr>
      </w:pPr>
    </w:p>
    <w:p w:rsidR="00112D14" w:rsidRPr="00F934E1" w:rsidRDefault="00112D14" w:rsidP="00112D14">
      <w:pPr>
        <w:rPr>
          <w:noProof/>
          <w:szCs w:val="26"/>
        </w:rPr>
      </w:pPr>
      <w:r w:rsidRPr="00F934E1">
        <w:rPr>
          <w:noProof/>
          <w:szCs w:val="26"/>
        </w:rPr>
        <w:t xml:space="preserve">Selv om forslaget hovedsageligt tager sigte på en ændring af den forvaltningsstruktur, som de tekniske foranstaltninger indgår i, snarere end en omfattende ændring af selve foranstaltningerne, vil den større fleksibilitet og de incitamenter til selektivt fiskeri, som det indfører, bevirke, at de tekniske foranstaltninger får større effekt og dermed bidrager til realiseringen af målene i den nye fælles fiskeripolitik. Fangsterne vil med tiden blive optimeret, fordi der kan fanges større fisk, og fiskeriets negative indvirkning på havets økosystem vil blive mindre som følge af mere ansvarlige fangstmetoder. </w:t>
      </w:r>
    </w:p>
    <w:p w:rsidR="00112D14" w:rsidRPr="00F934E1" w:rsidRDefault="00112D14" w:rsidP="00112D14">
      <w:pPr>
        <w:rPr>
          <w:noProof/>
          <w:szCs w:val="26"/>
        </w:rPr>
      </w:pPr>
    </w:p>
    <w:p w:rsidR="00112D14" w:rsidRPr="00F934E1" w:rsidRDefault="00112D14" w:rsidP="00112D14">
      <w:pPr>
        <w:rPr>
          <w:noProof/>
          <w:szCs w:val="26"/>
        </w:rPr>
      </w:pPr>
      <w:r w:rsidRPr="00F934E1">
        <w:rPr>
          <w:szCs w:val="26"/>
        </w:rPr>
        <w:t>Forslaget er udformet som en rammeforordning, der indeholder de overordnede mål og generelle principper for de tekniske regler, som skal danne basis for lige rammevilkår (”</w:t>
      </w:r>
      <w:proofErr w:type="spellStart"/>
      <w:r w:rsidRPr="00F934E1">
        <w:rPr>
          <w:szCs w:val="26"/>
        </w:rPr>
        <w:t>level</w:t>
      </w:r>
      <w:proofErr w:type="spellEnd"/>
      <w:r w:rsidRPr="00F934E1">
        <w:rPr>
          <w:szCs w:val="26"/>
        </w:rPr>
        <w:t xml:space="preserve"> </w:t>
      </w:r>
      <w:proofErr w:type="spellStart"/>
      <w:r w:rsidRPr="00F934E1">
        <w:rPr>
          <w:szCs w:val="26"/>
        </w:rPr>
        <w:t>playing</w:t>
      </w:r>
      <w:proofErr w:type="spellEnd"/>
      <w:r w:rsidRPr="00F934E1">
        <w:rPr>
          <w:szCs w:val="26"/>
        </w:rPr>
        <w:t xml:space="preserve"> </w:t>
      </w:r>
      <w:proofErr w:type="spellStart"/>
      <w:r w:rsidRPr="00F934E1">
        <w:rPr>
          <w:szCs w:val="26"/>
        </w:rPr>
        <w:t>field</w:t>
      </w:r>
      <w:proofErr w:type="spellEnd"/>
      <w:r w:rsidRPr="00F934E1">
        <w:rPr>
          <w:szCs w:val="26"/>
        </w:rPr>
        <w:t xml:space="preserve">”) på tværs af hele EU, mens de detaljerede regionale tekniske regler kan ændres i en regional procedure. </w:t>
      </w:r>
      <w:r w:rsidRPr="00F934E1">
        <w:rPr>
          <w:noProof/>
          <w:szCs w:val="26"/>
        </w:rPr>
        <w:t>Modellen</w:t>
      </w:r>
      <w:r w:rsidRPr="00F934E1">
        <w:rPr>
          <w:szCs w:val="26"/>
        </w:rPr>
        <w:t xml:space="preserve"> understøtter dermed princippet om regionalisering i den nye fælles fiskeripolitik. Kommissionen vurderer, at denne model er </w:t>
      </w:r>
      <w:r w:rsidRPr="00F934E1">
        <w:rPr>
          <w:noProof/>
          <w:szCs w:val="26"/>
        </w:rPr>
        <w:t>den bedst egnede til at opfylde de opstillede mål og giver den bedste garanti for, at bevarelsesmålene fortsat vil blive opfyldt samtidig med, at regionaliseringsprocessen skrider frem.</w:t>
      </w:r>
    </w:p>
    <w:p w:rsidR="00112D14" w:rsidRPr="00F934E1" w:rsidRDefault="00112D14" w:rsidP="00112D14">
      <w:pPr>
        <w:rPr>
          <w:noProof/>
          <w:szCs w:val="26"/>
        </w:rPr>
      </w:pPr>
    </w:p>
    <w:p w:rsidR="00112D14" w:rsidRPr="00F934E1" w:rsidRDefault="00112D14" w:rsidP="00112D14">
      <w:pPr>
        <w:rPr>
          <w:noProof/>
          <w:szCs w:val="26"/>
        </w:rPr>
      </w:pPr>
      <w:r w:rsidRPr="00F934E1">
        <w:rPr>
          <w:noProof/>
          <w:szCs w:val="26"/>
        </w:rPr>
        <w:t xml:space="preserve">Forslaget indeholder </w:t>
      </w:r>
      <w:r w:rsidRPr="00F934E1">
        <w:rPr>
          <w:i/>
          <w:noProof/>
          <w:szCs w:val="26"/>
        </w:rPr>
        <w:t>generelle bestemmelser</w:t>
      </w:r>
      <w:r w:rsidRPr="00F934E1">
        <w:rPr>
          <w:noProof/>
          <w:szCs w:val="26"/>
        </w:rPr>
        <w:t xml:space="preserve"> om anvendelsesområdet, de overordnede og de specifikke mål samt de målsætninger, der er knyttet til de generelle og specifikke mål, og som er udtrykt som niveauet af uønskede fangster. </w:t>
      </w:r>
      <w:r w:rsidRPr="00F934E1">
        <w:rPr>
          <w:szCs w:val="26"/>
        </w:rPr>
        <w:t>Der foreslås blandt andet kvantitative mål om, at fangster af fisk under mindstemålene maksimalt må udgøre 5 % af fangsterne. Forslaget</w:t>
      </w:r>
      <w:r w:rsidRPr="00F934E1">
        <w:rPr>
          <w:noProof/>
          <w:szCs w:val="26"/>
        </w:rPr>
        <w:t xml:space="preserve"> indeholder desuden begrænsninger på omfanget af bifangster af følsomme arter, bestemmelser om begrænsning af størrelsen af områder på havbunden, som i væsentlig grad påvirkes af fiskeriet, samt principper for god forvaltning og definitioner. Definitionerne vedrører hovedsageligt fiskeredskaber og fiskeri og er fælles for alle regioner. </w:t>
      </w:r>
    </w:p>
    <w:p w:rsidR="00112D14" w:rsidRPr="00F934E1" w:rsidRDefault="00112D14" w:rsidP="00112D14">
      <w:pPr>
        <w:rPr>
          <w:noProof/>
          <w:szCs w:val="26"/>
        </w:rPr>
      </w:pPr>
    </w:p>
    <w:p w:rsidR="00112D14" w:rsidRPr="00F934E1" w:rsidRDefault="00112D14" w:rsidP="00112D14">
      <w:pPr>
        <w:rPr>
          <w:noProof/>
          <w:szCs w:val="26"/>
        </w:rPr>
      </w:pPr>
      <w:r w:rsidRPr="00F934E1">
        <w:rPr>
          <w:noProof/>
          <w:szCs w:val="26"/>
        </w:rPr>
        <w:t xml:space="preserve">Videre er der en række </w:t>
      </w:r>
      <w:r w:rsidRPr="00F934E1">
        <w:rPr>
          <w:i/>
          <w:noProof/>
          <w:szCs w:val="26"/>
        </w:rPr>
        <w:t>fælles tekniske regler</w:t>
      </w:r>
      <w:r w:rsidRPr="00F934E1">
        <w:rPr>
          <w:noProof/>
          <w:szCs w:val="26"/>
        </w:rPr>
        <w:t xml:space="preserve">, der på nuværende tidspunkt er fastsat i alle de vigtigste tekniske forordninger, og som gælder for alle havområder og betragtes som de facto permanente, eftersom det ifølge Kommissionen ikke er nødvendigt eller berettiget at ændre dem. Disse omfatter </w:t>
      </w:r>
    </w:p>
    <w:p w:rsidR="00112D14" w:rsidRPr="00F934E1" w:rsidRDefault="00112D14" w:rsidP="00112D14">
      <w:pPr>
        <w:numPr>
          <w:ilvl w:val="0"/>
          <w:numId w:val="2"/>
        </w:numPr>
        <w:contextualSpacing/>
        <w:rPr>
          <w:noProof/>
          <w:szCs w:val="26"/>
        </w:rPr>
      </w:pPr>
      <w:r w:rsidRPr="00F934E1">
        <w:rPr>
          <w:noProof/>
          <w:szCs w:val="26"/>
        </w:rPr>
        <w:t>forbud mod redskaber og praksisser, herunder forbud mod salg af marine arter, der er fanget med bestemte redskaber,</w:t>
      </w:r>
    </w:p>
    <w:p w:rsidR="00112D14" w:rsidRPr="00F934E1" w:rsidRDefault="00112D14" w:rsidP="00112D14">
      <w:pPr>
        <w:numPr>
          <w:ilvl w:val="0"/>
          <w:numId w:val="2"/>
        </w:numPr>
        <w:contextualSpacing/>
        <w:rPr>
          <w:noProof/>
          <w:szCs w:val="26"/>
        </w:rPr>
      </w:pPr>
      <w:r w:rsidRPr="00F934E1">
        <w:rPr>
          <w:noProof/>
          <w:szCs w:val="26"/>
        </w:rPr>
        <w:t>generelle restriktioner for anvendelsen af trukne redskaber og betingelserne for deres anvendelse (omfatter fangstposens grundlæggende konstruktion og tilladte anordninger til fastgørelse på fiskeredskaber),</w:t>
      </w:r>
    </w:p>
    <w:p w:rsidR="00112D14" w:rsidRPr="00F934E1" w:rsidRDefault="00112D14" w:rsidP="00112D14">
      <w:pPr>
        <w:numPr>
          <w:ilvl w:val="0"/>
          <w:numId w:val="2"/>
        </w:numPr>
        <w:contextualSpacing/>
        <w:rPr>
          <w:noProof/>
          <w:szCs w:val="26"/>
        </w:rPr>
      </w:pPr>
      <w:r w:rsidRPr="00F934E1">
        <w:rPr>
          <w:noProof/>
          <w:szCs w:val="26"/>
        </w:rPr>
        <w:t>restriktioner for anvendelsen af faststående garn og drivgarn,</w:t>
      </w:r>
    </w:p>
    <w:p w:rsidR="00112D14" w:rsidRPr="00F934E1" w:rsidRDefault="00112D14" w:rsidP="00112D14">
      <w:pPr>
        <w:numPr>
          <w:ilvl w:val="0"/>
          <w:numId w:val="2"/>
        </w:numPr>
        <w:contextualSpacing/>
        <w:rPr>
          <w:noProof/>
          <w:szCs w:val="26"/>
        </w:rPr>
      </w:pPr>
      <w:r w:rsidRPr="00F934E1">
        <w:rPr>
          <w:noProof/>
          <w:szCs w:val="26"/>
        </w:rPr>
        <w:t>foranstaltninger til beskyttelse af følsomme arter (for eksempel havpattedyr, havkrybdyr og havfugle) og levesteder og sårbare økosystemer (for eksempel koldtvandskoralrev), herunder dem, der er opført i habitatdirektivet 92/43/EØF og fuglebeskyttelsesdirektivet 2009/147/EF,</w:t>
      </w:r>
    </w:p>
    <w:p w:rsidR="00112D14" w:rsidRPr="00F934E1" w:rsidRDefault="00112D14" w:rsidP="00112D14">
      <w:pPr>
        <w:numPr>
          <w:ilvl w:val="0"/>
          <w:numId w:val="2"/>
        </w:numPr>
        <w:contextualSpacing/>
        <w:rPr>
          <w:noProof/>
          <w:szCs w:val="26"/>
        </w:rPr>
      </w:pPr>
      <w:r w:rsidRPr="00F934E1">
        <w:rPr>
          <w:noProof/>
          <w:szCs w:val="26"/>
        </w:rPr>
        <w:lastRenderedPageBreak/>
        <w:t>bevarelsesmæssige mindstereferencestørrelser (definition, mål og anvendelse af fisk, som er mindre end disse størrelser) og</w:t>
      </w:r>
    </w:p>
    <w:p w:rsidR="00112D14" w:rsidRPr="00F934E1" w:rsidRDefault="00112D14" w:rsidP="00112D14">
      <w:pPr>
        <w:numPr>
          <w:ilvl w:val="0"/>
          <w:numId w:val="2"/>
        </w:numPr>
        <w:contextualSpacing/>
        <w:rPr>
          <w:noProof/>
          <w:szCs w:val="26"/>
        </w:rPr>
      </w:pPr>
      <w:r w:rsidRPr="00F934E1">
        <w:rPr>
          <w:noProof/>
          <w:szCs w:val="26"/>
        </w:rPr>
        <w:t>fælles foranstaltninger med henblik på at reducere udsmid (forbud mod highgrading og slipning af fangster og beskyttelse af arter, der ikke er omfattet af fangstbegrænsninger).</w:t>
      </w:r>
    </w:p>
    <w:p w:rsidR="00112D14" w:rsidRPr="00F934E1" w:rsidRDefault="00112D14" w:rsidP="00112D14">
      <w:pPr>
        <w:rPr>
          <w:noProof/>
          <w:szCs w:val="26"/>
        </w:rPr>
      </w:pPr>
    </w:p>
    <w:p w:rsidR="00112D14" w:rsidRPr="00F934E1" w:rsidRDefault="00112D14" w:rsidP="00112D14">
      <w:pPr>
        <w:rPr>
          <w:noProof/>
          <w:szCs w:val="26"/>
        </w:rPr>
      </w:pPr>
      <w:r w:rsidRPr="00F934E1">
        <w:rPr>
          <w:noProof/>
          <w:szCs w:val="26"/>
        </w:rPr>
        <w:t xml:space="preserve">I forlængelse af de fælles tekniske regler fastsættes i bilag </w:t>
      </w:r>
      <w:r w:rsidRPr="00F934E1">
        <w:rPr>
          <w:szCs w:val="26"/>
        </w:rPr>
        <w:t>detaljerede regionale regler</w:t>
      </w:r>
      <w:r w:rsidRPr="00F934E1">
        <w:rPr>
          <w:noProof/>
          <w:szCs w:val="26"/>
        </w:rPr>
        <w:t xml:space="preserve"> om maskestørrelser, bevarelsesmæssige mindstereferencestørrelser, lukkede områder eller områder med restriktioner for at beskytte ungfisk og gydefisk samt andre regionsspecifikke foranstaltninger, som skal finde anvendelse på regionalt plan.  De gældende regler om </w:t>
      </w:r>
      <w:r w:rsidRPr="00F934E1">
        <w:rPr>
          <w:szCs w:val="26"/>
        </w:rPr>
        <w:t xml:space="preserve">forskellige </w:t>
      </w:r>
      <w:proofErr w:type="spellStart"/>
      <w:r w:rsidRPr="00F934E1">
        <w:rPr>
          <w:szCs w:val="26"/>
        </w:rPr>
        <w:t>maskemål</w:t>
      </w:r>
      <w:proofErr w:type="spellEnd"/>
      <w:r w:rsidRPr="00F934E1">
        <w:rPr>
          <w:szCs w:val="26"/>
        </w:rPr>
        <w:t xml:space="preserve"> forenkles betydeligt, og de detaljerede regler om fangstsammensætning tilpasses. </w:t>
      </w:r>
    </w:p>
    <w:p w:rsidR="00112D14" w:rsidRPr="00F934E1" w:rsidRDefault="00112D14" w:rsidP="00112D14">
      <w:pPr>
        <w:rPr>
          <w:noProof/>
          <w:szCs w:val="26"/>
        </w:rPr>
      </w:pPr>
    </w:p>
    <w:p w:rsidR="00112D14" w:rsidRPr="00F934E1" w:rsidRDefault="00112D14" w:rsidP="00112D14">
      <w:pPr>
        <w:rPr>
          <w:noProof/>
          <w:szCs w:val="26"/>
        </w:rPr>
      </w:pPr>
      <w:r w:rsidRPr="00F934E1">
        <w:rPr>
          <w:noProof/>
          <w:szCs w:val="26"/>
        </w:rPr>
        <w:t>Der tillægges Kommissionen de fornødne beføjelser til på regionalt plan at vedtage ændringer af visse af de fælles regler og ændringer af de regionale regler fastsat i bilagene. Proceduren for vedtagelse af regler på regionalt niveau følger af grundforordningen for den fælles fiskeripolitik, hvorefter Kommissionen kan vedtage delegerede retsakter baseret på fælles henstillinger fra de regionale grupper af medlemsstater med interesser i de pågældende områder, for eksempel  Scheveningen-gruppen i Nordsøen og BALTFISH i Østersøen (kaldet ”regional procedure”). Ændringerne skal ske indenfor nogle fælles rammer, blandt andet skal nye ændrede regler som minimum være ækvivalente med de regler, de afløser i relation til udnyttelsesmønstre, niveauet for beskyttelse af sensitive arter, selektivitet samt sikre, at fangster af uønskede arter holdes under et givent niveau, og endelig skal der fremlægges videnskabelig dokumentation herfor.</w:t>
      </w:r>
    </w:p>
    <w:p w:rsidR="00112D14" w:rsidRPr="00F934E1" w:rsidRDefault="00112D14" w:rsidP="00112D14">
      <w:pPr>
        <w:rPr>
          <w:noProof/>
          <w:szCs w:val="26"/>
        </w:rPr>
      </w:pPr>
    </w:p>
    <w:p w:rsidR="00112D14" w:rsidRPr="00F934E1" w:rsidRDefault="00112D14" w:rsidP="00112D14">
      <w:pPr>
        <w:rPr>
          <w:noProof/>
          <w:szCs w:val="26"/>
        </w:rPr>
      </w:pPr>
      <w:r w:rsidRPr="00F934E1">
        <w:rPr>
          <w:noProof/>
          <w:szCs w:val="26"/>
        </w:rPr>
        <w:t>For så vidt angår forbud mod anvendelse af visse redskaber og bevarelsesmæssige mindstereferencestørrelser, vil disse ifølge forslaget også gælde for rekreativt fiskeri.</w:t>
      </w:r>
    </w:p>
    <w:p w:rsidR="00112D14" w:rsidRPr="00F934E1" w:rsidRDefault="00112D14" w:rsidP="00112D14">
      <w:pPr>
        <w:rPr>
          <w:noProof/>
          <w:szCs w:val="26"/>
        </w:rPr>
      </w:pPr>
    </w:p>
    <w:p w:rsidR="00112D14" w:rsidRPr="00F934E1" w:rsidRDefault="00112D14" w:rsidP="00112D14">
      <w:pPr>
        <w:rPr>
          <w:noProof/>
          <w:szCs w:val="26"/>
        </w:rPr>
      </w:pPr>
      <w:r w:rsidRPr="00F934E1">
        <w:rPr>
          <w:noProof/>
          <w:szCs w:val="26"/>
        </w:rPr>
        <w:t xml:space="preserve">Forslaget indeholder tillige tekniske foranstaltninger gældende for fiskeri i visse farvande uden for EU's farvande, herunder en bemyndigelse til Kommissionen til at vedtage delegerede retsakter vedrørende detaljerede regler med lister over sårbare havøkosystemer samt specifikke tekniske foranstaltninger gældende for bestemte fiskerier, som er vedtaget af Kommissionen for Fiskeriet i det Nordøstlige Atlanterhav (NEAFC) og Den Almindelige Kommission for Fiskeri i Middelhavet (GFCM).  </w:t>
      </w:r>
    </w:p>
    <w:p w:rsidR="00112D14" w:rsidRPr="00F934E1" w:rsidRDefault="00112D14" w:rsidP="00112D14">
      <w:pPr>
        <w:rPr>
          <w:noProof/>
          <w:szCs w:val="26"/>
        </w:rPr>
      </w:pPr>
    </w:p>
    <w:p w:rsidR="00112D14" w:rsidRPr="00F934E1" w:rsidRDefault="00112D14" w:rsidP="00112D14">
      <w:pPr>
        <w:rPr>
          <w:noProof/>
          <w:szCs w:val="26"/>
        </w:rPr>
      </w:pPr>
      <w:r w:rsidRPr="00F934E1">
        <w:rPr>
          <w:noProof/>
          <w:szCs w:val="26"/>
        </w:rPr>
        <w:t>Endelig har forslaget fælles bestemmelser om udførelsen af videnskabelige undersøgelser, om udsætning og omplantning af marine arter, om udøvelsen af Kommissionens beføjelser hvad angår de delegerede retsakter, om udvalgsprocedurerne med henblik på gennemførelsesretsakterne, samt bilag med en liste over forbudte arter, som, hvis de tages som bifangster, straks skal genudsættes, en liste over lukkede områder med henblik på at beskytte følsomme levesteder og en liste over arter, som ikke må fanges med drivgarn.</w:t>
      </w:r>
    </w:p>
    <w:p w:rsidR="00112D14" w:rsidRPr="00F934E1" w:rsidRDefault="00112D14" w:rsidP="00112D14">
      <w:pPr>
        <w:rPr>
          <w:noProof/>
          <w:szCs w:val="26"/>
        </w:rPr>
      </w:pPr>
    </w:p>
    <w:p w:rsidR="00112D14" w:rsidRPr="00F934E1" w:rsidRDefault="00112D14" w:rsidP="00112D14">
      <w:pPr>
        <w:pStyle w:val="Overskrift1"/>
        <w:pBdr>
          <w:left w:val="single" w:sz="4" w:space="4" w:color="auto"/>
        </w:pBdr>
        <w:jc w:val="left"/>
        <w:rPr>
          <w:b w:val="0"/>
          <w:i/>
          <w:szCs w:val="26"/>
        </w:rPr>
      </w:pPr>
      <w:r>
        <w:rPr>
          <w:b w:val="0"/>
          <w:i/>
          <w:szCs w:val="26"/>
        </w:rPr>
        <w:t>Rådets generelle indstilling</w:t>
      </w:r>
    </w:p>
    <w:p w:rsidR="00112D14" w:rsidRPr="0016642B" w:rsidRDefault="00112D14" w:rsidP="00112D14">
      <w:pPr>
        <w:pBdr>
          <w:left w:val="single" w:sz="4" w:space="4" w:color="auto"/>
        </w:pBdr>
        <w:rPr>
          <w:szCs w:val="26"/>
        </w:rPr>
      </w:pPr>
      <w:r w:rsidRPr="0016642B">
        <w:rPr>
          <w:szCs w:val="26"/>
        </w:rPr>
        <w:t>Rådet opnåede den 11. maj 2017 en generel indstilling. Følgende elementer i den generelle indstilling kan særligt fremhæves:</w:t>
      </w:r>
    </w:p>
    <w:p w:rsidR="00112D14" w:rsidRPr="00F934E1" w:rsidRDefault="00112D14" w:rsidP="00112D14">
      <w:pPr>
        <w:pStyle w:val="Listeafsnit"/>
        <w:numPr>
          <w:ilvl w:val="0"/>
          <w:numId w:val="2"/>
        </w:numPr>
        <w:spacing w:after="0" w:line="240" w:lineRule="auto"/>
        <w:rPr>
          <w:rFonts w:ascii="Garamond" w:hAnsi="Garamond"/>
          <w:sz w:val="26"/>
          <w:szCs w:val="26"/>
        </w:rPr>
      </w:pPr>
      <w:r w:rsidRPr="00F934E1">
        <w:rPr>
          <w:rFonts w:ascii="Garamond" w:hAnsi="Garamond"/>
          <w:sz w:val="26"/>
          <w:szCs w:val="26"/>
        </w:rPr>
        <w:t>Det kvantitative mål om, at fangster af fisk under mindstemålene maksimalt må udgøre 5 %, ændres til et kvalitativt mål for de tekniske foranstaltninger om at ’reducere fangsterne under mindstemålene mest muligt’ i overensstemmelse med grundforordningens mål om maksimalt bæredygtigt udbytte (MSY). Samtidig er der tilføjet en henvisning til grundforordningens målsætninger af socioøkonomisk karakter og om at fremme af det kystnære fiskeri.</w:t>
      </w:r>
    </w:p>
    <w:p w:rsidR="00112D14" w:rsidRPr="00F934E1" w:rsidRDefault="00112D14" w:rsidP="00112D14">
      <w:pPr>
        <w:pStyle w:val="Listeafsnit"/>
        <w:numPr>
          <w:ilvl w:val="0"/>
          <w:numId w:val="2"/>
        </w:numPr>
        <w:spacing w:after="0" w:line="240" w:lineRule="auto"/>
        <w:rPr>
          <w:rFonts w:ascii="Garamond" w:hAnsi="Garamond"/>
          <w:sz w:val="26"/>
          <w:szCs w:val="26"/>
        </w:rPr>
      </w:pPr>
      <w:r w:rsidRPr="00F934E1">
        <w:rPr>
          <w:rFonts w:ascii="Garamond" w:hAnsi="Garamond"/>
          <w:sz w:val="26"/>
          <w:szCs w:val="26"/>
        </w:rPr>
        <w:t xml:space="preserve">På listen over forbudte redskaber gives der mulighed for via den regionale procedure at tillade redskaber med brug af elektrisk strøm, hvis det kan dokumenteres, at disse ikke har øget skadelig virkning for beskyttelsen af de marine biologiske ressourcer end andre redskaber. Reglerne om anvendelse af det såkaldte ’pulstrawl’ (trawl med elektrisk strøm) er præciseret, så de nuværende regler videreføres uændret. Desuden udgår det generelle forbud mod anvendelse af harpun sammen med brug af </w:t>
      </w:r>
      <w:proofErr w:type="spellStart"/>
      <w:r w:rsidRPr="00F934E1">
        <w:rPr>
          <w:rFonts w:ascii="Garamond" w:hAnsi="Garamond"/>
          <w:sz w:val="26"/>
          <w:szCs w:val="26"/>
        </w:rPr>
        <w:t>iltudstyr</w:t>
      </w:r>
      <w:proofErr w:type="spellEnd"/>
      <w:r w:rsidRPr="00F934E1">
        <w:rPr>
          <w:rFonts w:ascii="Garamond" w:hAnsi="Garamond"/>
          <w:sz w:val="26"/>
          <w:szCs w:val="26"/>
        </w:rPr>
        <w:t xml:space="preserve"> eller om natten. </w:t>
      </w:r>
    </w:p>
    <w:p w:rsidR="00112D14" w:rsidRPr="00F934E1" w:rsidRDefault="00112D14" w:rsidP="00112D14">
      <w:pPr>
        <w:pStyle w:val="Listeafsnit"/>
        <w:numPr>
          <w:ilvl w:val="0"/>
          <w:numId w:val="2"/>
        </w:numPr>
        <w:spacing w:after="0" w:line="240" w:lineRule="auto"/>
        <w:rPr>
          <w:rFonts w:ascii="Garamond" w:hAnsi="Garamond"/>
          <w:i/>
          <w:sz w:val="26"/>
          <w:szCs w:val="26"/>
        </w:rPr>
      </w:pPr>
      <w:r w:rsidRPr="00F934E1">
        <w:rPr>
          <w:rFonts w:ascii="Garamond" w:hAnsi="Garamond"/>
          <w:sz w:val="26"/>
          <w:szCs w:val="26"/>
        </w:rPr>
        <w:lastRenderedPageBreak/>
        <w:t xml:space="preserve">Reglerne om forbud mod fiskeri efter og håndtering af beskyttelsesværdige og sensitive arter er uændret i forhold til Kommissionens forslag, men selve listen over arter udgår af dette forslag og den nuværende liste beholdes i den årlige forordning om fiskerimuligheder med mulighed for en årlig opdatering. </w:t>
      </w:r>
    </w:p>
    <w:p w:rsidR="00112D14" w:rsidRPr="00F934E1" w:rsidRDefault="00112D14" w:rsidP="00112D14">
      <w:pPr>
        <w:pStyle w:val="Listeafsnit"/>
        <w:numPr>
          <w:ilvl w:val="0"/>
          <w:numId w:val="2"/>
        </w:numPr>
        <w:spacing w:after="0" w:line="240" w:lineRule="auto"/>
        <w:rPr>
          <w:rFonts w:ascii="Garamond" w:hAnsi="Garamond"/>
          <w:sz w:val="26"/>
          <w:szCs w:val="26"/>
        </w:rPr>
      </w:pPr>
      <w:r w:rsidRPr="00F934E1">
        <w:rPr>
          <w:rFonts w:ascii="Garamond" w:hAnsi="Garamond"/>
          <w:sz w:val="26"/>
          <w:szCs w:val="26"/>
        </w:rPr>
        <w:t>Mulighederne for at ændre de regionale bilag er lempet, herunder at nye regler mere generelt skal være ækvivalente i forhold til fordele for beskyttelsen af de marine biologiske ressourcer.</w:t>
      </w:r>
    </w:p>
    <w:p w:rsidR="00112D14" w:rsidRPr="00F934E1" w:rsidRDefault="00112D14" w:rsidP="00112D14">
      <w:pPr>
        <w:pStyle w:val="Listeafsnit"/>
        <w:numPr>
          <w:ilvl w:val="0"/>
          <w:numId w:val="2"/>
        </w:numPr>
        <w:spacing w:after="0" w:line="240" w:lineRule="auto"/>
        <w:rPr>
          <w:rFonts w:ascii="Garamond" w:hAnsi="Garamond"/>
          <w:sz w:val="26"/>
          <w:szCs w:val="26"/>
        </w:rPr>
      </w:pPr>
      <w:r w:rsidRPr="00F934E1">
        <w:rPr>
          <w:rFonts w:ascii="Garamond" w:hAnsi="Garamond"/>
          <w:sz w:val="26"/>
          <w:szCs w:val="26"/>
        </w:rPr>
        <w:t>Mulighederne for at Kommissionen kan vedtage en delegeret retsakt om implementering af tekniske foranstaltninger vedtaget i regi af NEAFC og GFCM udgår, og den nuværende implementeringsmetode med almindelig lovgivningsprocedure opretholdes.</w:t>
      </w:r>
    </w:p>
    <w:p w:rsidR="00112D14" w:rsidRPr="00F934E1" w:rsidRDefault="00112D14" w:rsidP="00112D14">
      <w:pPr>
        <w:pStyle w:val="Listeafsnit"/>
        <w:numPr>
          <w:ilvl w:val="0"/>
          <w:numId w:val="2"/>
        </w:numPr>
        <w:spacing w:after="0" w:line="240" w:lineRule="auto"/>
        <w:rPr>
          <w:rFonts w:ascii="Garamond" w:hAnsi="Garamond"/>
          <w:sz w:val="26"/>
          <w:szCs w:val="26"/>
        </w:rPr>
      </w:pPr>
      <w:r w:rsidRPr="00F934E1">
        <w:rPr>
          <w:rFonts w:ascii="Garamond" w:hAnsi="Garamond"/>
          <w:sz w:val="26"/>
          <w:szCs w:val="26"/>
        </w:rPr>
        <w:t xml:space="preserve">I de regionale bilag er der foreslået en række detaljerede justeringer af forslaget om forenkling af kategorierne for de forskellige </w:t>
      </w:r>
      <w:proofErr w:type="spellStart"/>
      <w:r w:rsidRPr="00F934E1">
        <w:rPr>
          <w:rFonts w:ascii="Garamond" w:hAnsi="Garamond"/>
          <w:sz w:val="26"/>
          <w:szCs w:val="26"/>
        </w:rPr>
        <w:t>maskemål</w:t>
      </w:r>
      <w:proofErr w:type="spellEnd"/>
      <w:r w:rsidRPr="00F934E1">
        <w:rPr>
          <w:rFonts w:ascii="Garamond" w:hAnsi="Garamond"/>
          <w:sz w:val="26"/>
          <w:szCs w:val="26"/>
        </w:rPr>
        <w:t>, herunder specifikke procentsatser for ’direkte fiskerier’ efter de forskellige arter samt betingelserne knyttet hertil om blandt andet anvendelse af sorteringsriste og -paneler.</w:t>
      </w:r>
    </w:p>
    <w:p w:rsidR="00112D14" w:rsidRPr="00F934E1" w:rsidRDefault="00112D14" w:rsidP="00112D14">
      <w:pPr>
        <w:pStyle w:val="Listeafsnit"/>
        <w:numPr>
          <w:ilvl w:val="0"/>
          <w:numId w:val="2"/>
        </w:numPr>
        <w:spacing w:after="0" w:line="240" w:lineRule="auto"/>
        <w:rPr>
          <w:rFonts w:ascii="Garamond" w:hAnsi="Garamond"/>
          <w:sz w:val="26"/>
          <w:szCs w:val="26"/>
        </w:rPr>
      </w:pPr>
      <w:r w:rsidRPr="00F934E1">
        <w:rPr>
          <w:rFonts w:ascii="Garamond" w:hAnsi="Garamond"/>
          <w:sz w:val="26"/>
          <w:szCs w:val="26"/>
        </w:rPr>
        <w:t>For det rekreative fiskeri skal listen over forbudte redskaber gælde direkte, mens det i øvrigt overlades til det regionale niveau at fastsætte, hvilke regler der om nødvendigt skal gælde for rekreativt fiskeri, når det rekreative fiskeri har en betydelig påvirkning i et givent område, herunder mindstemål og lukkeområder og -perioder.</w:t>
      </w:r>
    </w:p>
    <w:p w:rsidR="00112D14" w:rsidRPr="00787811" w:rsidRDefault="00112D14" w:rsidP="00112D14">
      <w:pPr>
        <w:rPr>
          <w:szCs w:val="26"/>
          <w:lang w:eastAsia="da-DK"/>
        </w:rPr>
      </w:pPr>
    </w:p>
    <w:p w:rsidR="00112D14" w:rsidRPr="00787811" w:rsidRDefault="00112D14" w:rsidP="00112D14">
      <w:pPr>
        <w:rPr>
          <w:rFonts w:eastAsia="SimSun"/>
          <w:szCs w:val="26"/>
          <w:lang w:eastAsia="da-DK"/>
        </w:rPr>
      </w:pPr>
      <w:r w:rsidRPr="00787811">
        <w:rPr>
          <w:rFonts w:eastAsia="SimSun"/>
          <w:b/>
          <w:szCs w:val="26"/>
          <w:lang w:eastAsia="da-DK"/>
        </w:rPr>
        <w:t>4. Europa-Parlamentets udtalelser</w:t>
      </w:r>
    </w:p>
    <w:p w:rsidR="00112D14" w:rsidRDefault="00112D14" w:rsidP="00112D14">
      <w:pPr>
        <w:pBdr>
          <w:left w:val="single" w:sz="4" w:space="4" w:color="auto"/>
        </w:pBdr>
      </w:pPr>
      <w:r w:rsidRPr="00F934E1">
        <w:t>Europa-Parlamentets Fiskeriudvalg, der er ledende udvalg</w:t>
      </w:r>
      <w:r>
        <w:t xml:space="preserve">, vedtog </w:t>
      </w:r>
      <w:r w:rsidRPr="00F934E1">
        <w:t xml:space="preserve">sin betænkning den </w:t>
      </w:r>
      <w:r>
        <w:t xml:space="preserve">28. november </w:t>
      </w:r>
      <w:r w:rsidRPr="00F934E1">
        <w:t>2017</w:t>
      </w:r>
      <w:r>
        <w:t>. Betænkningen</w:t>
      </w:r>
      <w:r w:rsidRPr="00747944">
        <w:t xml:space="preserve"> </w:t>
      </w:r>
      <w:r>
        <w:t xml:space="preserve">er godkendt på Europa-Parlamentets plenarforsamling den 16. januar 2018. Blandt hovedelementerne i Europa-Parlamentets udtalelse kan fremhæves: </w:t>
      </w:r>
    </w:p>
    <w:p w:rsidR="00112D14" w:rsidRPr="00CA7804" w:rsidRDefault="00112D14" w:rsidP="00112D14">
      <w:pPr>
        <w:pStyle w:val="Listeafsnit"/>
        <w:numPr>
          <w:ilvl w:val="0"/>
          <w:numId w:val="3"/>
        </w:numPr>
        <w:pBdr>
          <w:left w:val="single" w:sz="4" w:space="4" w:color="auto"/>
        </w:pBdr>
      </w:pPr>
      <w:r w:rsidRPr="00CA7804">
        <w:rPr>
          <w:rFonts w:ascii="Garamond" w:hAnsi="Garamond"/>
          <w:sz w:val="26"/>
          <w:szCs w:val="26"/>
        </w:rPr>
        <w:t>Der skal fastsættes kvantitative mål på regionalt niveau for reduktion af fangster af fisk under mindstemålene. Det skal ske gennem delegerede retsakter baseret på fælles henstillinger fra regionale samarbejder.</w:t>
      </w:r>
    </w:p>
    <w:p w:rsidR="00112D14" w:rsidRPr="00895C7D" w:rsidRDefault="00112D14" w:rsidP="00112D14">
      <w:pPr>
        <w:pStyle w:val="Listeafsnit"/>
        <w:numPr>
          <w:ilvl w:val="0"/>
          <w:numId w:val="3"/>
        </w:numPr>
        <w:pBdr>
          <w:left w:val="single" w:sz="4" w:space="4" w:color="auto"/>
        </w:pBdr>
      </w:pPr>
      <w:r>
        <w:rPr>
          <w:rFonts w:ascii="Garamond" w:hAnsi="Garamond"/>
          <w:sz w:val="26"/>
          <w:szCs w:val="26"/>
        </w:rPr>
        <w:t>A</w:t>
      </w:r>
      <w:r w:rsidRPr="00A375FD">
        <w:rPr>
          <w:rFonts w:ascii="Garamond" w:hAnsi="Garamond"/>
          <w:sz w:val="26"/>
          <w:szCs w:val="26"/>
        </w:rPr>
        <w:t>nvende</w:t>
      </w:r>
      <w:r>
        <w:rPr>
          <w:rFonts w:ascii="Garamond" w:hAnsi="Garamond"/>
          <w:sz w:val="26"/>
          <w:szCs w:val="26"/>
        </w:rPr>
        <w:t>lse af</w:t>
      </w:r>
      <w:r w:rsidRPr="00A375FD">
        <w:rPr>
          <w:rFonts w:ascii="Garamond" w:hAnsi="Garamond"/>
          <w:sz w:val="26"/>
          <w:szCs w:val="26"/>
        </w:rPr>
        <w:t xml:space="preserve"> pulstrawl </w:t>
      </w:r>
      <w:r>
        <w:rPr>
          <w:rFonts w:ascii="Garamond" w:hAnsi="Garamond"/>
          <w:sz w:val="26"/>
          <w:szCs w:val="26"/>
        </w:rPr>
        <w:t xml:space="preserve">forbydes helt, herunder som et begrænset forsøgsprojekt. </w:t>
      </w:r>
    </w:p>
    <w:p w:rsidR="00112D14" w:rsidRPr="00EF7347" w:rsidRDefault="00112D14" w:rsidP="00112D14">
      <w:pPr>
        <w:pStyle w:val="Listeafsnit"/>
        <w:numPr>
          <w:ilvl w:val="0"/>
          <w:numId w:val="3"/>
        </w:numPr>
        <w:pBdr>
          <w:left w:val="single" w:sz="4" w:space="4" w:color="auto"/>
        </w:pBdr>
      </w:pPr>
      <w:r>
        <w:rPr>
          <w:rFonts w:ascii="Garamond" w:hAnsi="Garamond"/>
          <w:sz w:val="26"/>
          <w:szCs w:val="26"/>
        </w:rPr>
        <w:t>Listen over ”forbudte arter” forbliver i et bilag, som også foreslået af Kommissionen.</w:t>
      </w:r>
    </w:p>
    <w:p w:rsidR="00112D14" w:rsidRPr="00895C7D" w:rsidRDefault="00112D14" w:rsidP="00112D14">
      <w:pPr>
        <w:pStyle w:val="Listeafsnit"/>
        <w:numPr>
          <w:ilvl w:val="0"/>
          <w:numId w:val="3"/>
        </w:numPr>
        <w:pBdr>
          <w:left w:val="single" w:sz="4" w:space="4" w:color="auto"/>
        </w:pBdr>
      </w:pPr>
      <w:r>
        <w:rPr>
          <w:rFonts w:ascii="Garamond" w:hAnsi="Garamond"/>
          <w:sz w:val="26"/>
          <w:szCs w:val="26"/>
        </w:rPr>
        <w:t>De tekniske foranstaltninger i forordningen skal også gælde generelt for rekreativt fiskeri.</w:t>
      </w:r>
    </w:p>
    <w:p w:rsidR="00112D14" w:rsidRDefault="00112D14" w:rsidP="00112D14">
      <w:pPr>
        <w:pStyle w:val="Listeafsnit"/>
        <w:numPr>
          <w:ilvl w:val="0"/>
          <w:numId w:val="3"/>
        </w:numPr>
        <w:pBdr>
          <w:left w:val="single" w:sz="4" w:space="4" w:color="auto"/>
        </w:pBdr>
        <w:rPr>
          <w:rFonts w:ascii="Garamond" w:hAnsi="Garamond"/>
          <w:sz w:val="26"/>
          <w:szCs w:val="26"/>
        </w:rPr>
      </w:pPr>
      <w:r w:rsidRPr="0037696B">
        <w:rPr>
          <w:rFonts w:ascii="Garamond" w:hAnsi="Garamond"/>
          <w:sz w:val="26"/>
          <w:szCs w:val="26"/>
        </w:rPr>
        <w:t xml:space="preserve">Anvendelse af håndholdt harpun og harpun </w:t>
      </w:r>
      <w:r>
        <w:rPr>
          <w:rFonts w:ascii="Garamond" w:hAnsi="Garamond"/>
          <w:sz w:val="26"/>
          <w:szCs w:val="26"/>
        </w:rPr>
        <w:t>med</w:t>
      </w:r>
      <w:r w:rsidRPr="0037696B">
        <w:rPr>
          <w:rFonts w:ascii="Garamond" w:hAnsi="Garamond"/>
          <w:sz w:val="26"/>
          <w:szCs w:val="26"/>
        </w:rPr>
        <w:t xml:space="preserve"> brug af </w:t>
      </w:r>
      <w:proofErr w:type="spellStart"/>
      <w:r w:rsidRPr="0037696B">
        <w:rPr>
          <w:rFonts w:ascii="Garamond" w:hAnsi="Garamond"/>
          <w:sz w:val="26"/>
          <w:szCs w:val="26"/>
        </w:rPr>
        <w:t>iltudstyr</w:t>
      </w:r>
      <w:proofErr w:type="spellEnd"/>
      <w:r w:rsidRPr="0037696B">
        <w:rPr>
          <w:rFonts w:ascii="Garamond" w:hAnsi="Garamond"/>
          <w:sz w:val="26"/>
          <w:szCs w:val="26"/>
        </w:rPr>
        <w:t xml:space="preserve"> om </w:t>
      </w:r>
      <w:r>
        <w:rPr>
          <w:rFonts w:ascii="Garamond" w:hAnsi="Garamond"/>
          <w:sz w:val="26"/>
          <w:szCs w:val="26"/>
        </w:rPr>
        <w:t>natten forbydes, som også foreslået af Kommissionen</w:t>
      </w:r>
      <w:r w:rsidRPr="0037696B">
        <w:rPr>
          <w:rFonts w:ascii="Garamond" w:hAnsi="Garamond"/>
          <w:sz w:val="26"/>
          <w:szCs w:val="26"/>
        </w:rPr>
        <w:t>.</w:t>
      </w:r>
      <w:r w:rsidRPr="00592AD5">
        <w:rPr>
          <w:rFonts w:ascii="Garamond" w:hAnsi="Garamond"/>
          <w:sz w:val="26"/>
          <w:szCs w:val="26"/>
        </w:rPr>
        <w:t xml:space="preserve"> </w:t>
      </w:r>
    </w:p>
    <w:p w:rsidR="00112D14" w:rsidRPr="00475826" w:rsidRDefault="00112D14" w:rsidP="00112D14">
      <w:pPr>
        <w:pStyle w:val="Listeafsnit"/>
        <w:numPr>
          <w:ilvl w:val="0"/>
          <w:numId w:val="3"/>
        </w:numPr>
        <w:pBdr>
          <w:left w:val="single" w:sz="4" w:space="4" w:color="auto"/>
        </w:pBdr>
        <w:rPr>
          <w:rFonts w:ascii="Garamond" w:hAnsi="Garamond"/>
          <w:sz w:val="26"/>
          <w:szCs w:val="26"/>
        </w:rPr>
      </w:pPr>
      <w:r w:rsidRPr="00475826">
        <w:rPr>
          <w:rFonts w:ascii="Garamond" w:hAnsi="Garamond"/>
          <w:sz w:val="26"/>
          <w:szCs w:val="26"/>
        </w:rPr>
        <w:t>Der tilføjes krav om bestemte tiltag til beskyttelse af særlige naturområder og truede arter i overensstemmelse med miljødirektiverne.</w:t>
      </w:r>
    </w:p>
    <w:p w:rsidR="00112D14" w:rsidRPr="00475826" w:rsidRDefault="00112D14" w:rsidP="00112D14">
      <w:pPr>
        <w:pStyle w:val="Listeafsnit"/>
        <w:numPr>
          <w:ilvl w:val="0"/>
          <w:numId w:val="3"/>
        </w:numPr>
        <w:pBdr>
          <w:left w:val="single" w:sz="4" w:space="4" w:color="auto"/>
        </w:pBdr>
        <w:rPr>
          <w:szCs w:val="26"/>
        </w:rPr>
      </w:pPr>
      <w:r w:rsidRPr="0037696B">
        <w:rPr>
          <w:rFonts w:ascii="Garamond" w:hAnsi="Garamond"/>
          <w:sz w:val="26"/>
          <w:szCs w:val="26"/>
        </w:rPr>
        <w:t xml:space="preserve">Der gives mulighed for at </w:t>
      </w:r>
      <w:r>
        <w:rPr>
          <w:rFonts w:ascii="Garamond" w:hAnsi="Garamond"/>
          <w:sz w:val="26"/>
          <w:szCs w:val="26"/>
        </w:rPr>
        <w:t>iværksætte</w:t>
      </w:r>
      <w:r w:rsidRPr="0037696B">
        <w:rPr>
          <w:rFonts w:ascii="Garamond" w:hAnsi="Garamond"/>
          <w:sz w:val="26"/>
          <w:szCs w:val="26"/>
        </w:rPr>
        <w:t xml:space="preserve"> om pilotprojekter med anvendelse af fuldt dokumenteret fiskeri. Disse projekter kan </w:t>
      </w:r>
      <w:proofErr w:type="gramStart"/>
      <w:r w:rsidRPr="0037696B">
        <w:rPr>
          <w:rFonts w:ascii="Garamond" w:hAnsi="Garamond"/>
          <w:sz w:val="26"/>
          <w:szCs w:val="26"/>
        </w:rPr>
        <w:t>omfattet</w:t>
      </w:r>
      <w:proofErr w:type="gramEnd"/>
      <w:r w:rsidRPr="0037696B">
        <w:rPr>
          <w:rFonts w:ascii="Garamond" w:hAnsi="Garamond"/>
          <w:sz w:val="26"/>
          <w:szCs w:val="26"/>
        </w:rPr>
        <w:t xml:space="preserve"> op til </w:t>
      </w:r>
      <w:r w:rsidRPr="0037696B">
        <w:rPr>
          <w:rFonts w:ascii="Garamond" w:eastAsia="Times New Roman" w:hAnsi="Garamond"/>
          <w:sz w:val="26"/>
          <w:szCs w:val="26"/>
        </w:rPr>
        <w:t xml:space="preserve">5 % af et flådesegment. </w:t>
      </w:r>
    </w:p>
    <w:p w:rsidR="00112D14" w:rsidRPr="00475826" w:rsidRDefault="00112D14" w:rsidP="00112D14">
      <w:pPr>
        <w:pStyle w:val="Listeafsnit"/>
        <w:numPr>
          <w:ilvl w:val="0"/>
          <w:numId w:val="3"/>
        </w:numPr>
        <w:pBdr>
          <w:left w:val="single" w:sz="4" w:space="4" w:color="auto"/>
        </w:pBdr>
        <w:rPr>
          <w:szCs w:val="26"/>
        </w:rPr>
      </w:pPr>
      <w:r w:rsidRPr="00475826">
        <w:rPr>
          <w:rFonts w:ascii="Garamond" w:hAnsi="Garamond"/>
          <w:sz w:val="26"/>
          <w:szCs w:val="26"/>
        </w:rPr>
        <w:t>Mulighederne for fastsættelse af regler i regional procedure bliver sekundære i forhold til regler i forvaltningsplanerne.</w:t>
      </w:r>
    </w:p>
    <w:p w:rsidR="00112D14" w:rsidRPr="00592AD5" w:rsidRDefault="00112D14" w:rsidP="00112D14">
      <w:pPr>
        <w:rPr>
          <w:szCs w:val="26"/>
        </w:rPr>
      </w:pPr>
    </w:p>
    <w:p w:rsidR="00112D14" w:rsidRPr="000C7EF4" w:rsidRDefault="00112D14" w:rsidP="00112D14">
      <w:pPr>
        <w:rPr>
          <w:rFonts w:eastAsia="SimSun"/>
          <w:szCs w:val="26"/>
          <w:lang w:eastAsia="da-DK"/>
        </w:rPr>
      </w:pPr>
      <w:r w:rsidRPr="000C7EF4">
        <w:rPr>
          <w:rFonts w:eastAsia="SimSun"/>
          <w:b/>
          <w:szCs w:val="26"/>
          <w:lang w:eastAsia="da-DK"/>
        </w:rPr>
        <w:t>5. Nærhedsprincippet</w:t>
      </w:r>
    </w:p>
    <w:p w:rsidR="00112D14" w:rsidRPr="000225F7" w:rsidRDefault="00112D14" w:rsidP="00112D14">
      <w:r w:rsidRPr="000225F7">
        <w:t>Forslaget er et led i gennemførelsen af den fælles fiskeripolitik, hvorfor nærhedsprincippet er tilgodeset.</w:t>
      </w:r>
    </w:p>
    <w:p w:rsidR="00112D14" w:rsidRPr="000C7EF4" w:rsidRDefault="00112D14" w:rsidP="00112D14">
      <w:pPr>
        <w:rPr>
          <w:rFonts w:eastAsia="SimSun"/>
          <w:b/>
          <w:szCs w:val="26"/>
          <w:lang w:eastAsia="da-DK"/>
        </w:rPr>
      </w:pPr>
    </w:p>
    <w:p w:rsidR="00112D14" w:rsidRPr="000C7EF4" w:rsidRDefault="00112D14" w:rsidP="00112D14">
      <w:pPr>
        <w:rPr>
          <w:rFonts w:eastAsia="SimSun"/>
          <w:szCs w:val="26"/>
          <w:lang w:eastAsia="da-DK"/>
        </w:rPr>
      </w:pPr>
      <w:r w:rsidRPr="000C7EF4">
        <w:rPr>
          <w:rFonts w:eastAsia="SimSun"/>
          <w:b/>
          <w:szCs w:val="26"/>
          <w:lang w:eastAsia="da-DK"/>
        </w:rPr>
        <w:t>6. Gældende dansk ret</w:t>
      </w:r>
    </w:p>
    <w:p w:rsidR="00112D14" w:rsidRPr="000C7EF4" w:rsidRDefault="00112D14" w:rsidP="00112D14">
      <w:pPr>
        <w:rPr>
          <w:rFonts w:eastAsia="SimSun"/>
          <w:szCs w:val="26"/>
          <w:lang w:eastAsia="da-DK"/>
        </w:rPr>
      </w:pPr>
      <w:r w:rsidRPr="000C7EF4">
        <w:rPr>
          <w:rFonts w:eastAsia="SimSun"/>
          <w:szCs w:val="26"/>
          <w:lang w:eastAsia="da-DK"/>
        </w:rPr>
        <w:t>Ikke relevant.</w:t>
      </w:r>
    </w:p>
    <w:p w:rsidR="00112D14" w:rsidRPr="000C7EF4" w:rsidRDefault="00112D14" w:rsidP="00112D14">
      <w:pPr>
        <w:rPr>
          <w:rFonts w:eastAsia="SimSun"/>
          <w:b/>
          <w:szCs w:val="26"/>
          <w:lang w:eastAsia="da-DK"/>
        </w:rPr>
      </w:pPr>
    </w:p>
    <w:p w:rsidR="00112D14" w:rsidRPr="000C7EF4" w:rsidRDefault="00112D14" w:rsidP="00112D14">
      <w:pPr>
        <w:rPr>
          <w:rFonts w:eastAsia="SimSun"/>
          <w:szCs w:val="26"/>
          <w:lang w:eastAsia="da-DK"/>
        </w:rPr>
      </w:pPr>
      <w:r w:rsidRPr="000C7EF4">
        <w:rPr>
          <w:rFonts w:eastAsia="SimSun"/>
          <w:b/>
          <w:szCs w:val="26"/>
          <w:lang w:eastAsia="da-DK"/>
        </w:rPr>
        <w:t>7. Konsekvenser</w:t>
      </w:r>
    </w:p>
    <w:p w:rsidR="00112D14" w:rsidRPr="000225F7" w:rsidRDefault="00112D14" w:rsidP="00112D14">
      <w:r w:rsidRPr="000225F7">
        <w:t>En vedtagelse af forslaget har ingen lovgivningsmæssige konsekvenser.</w:t>
      </w:r>
    </w:p>
    <w:p w:rsidR="00112D14" w:rsidRPr="000225F7" w:rsidRDefault="00112D14" w:rsidP="00112D14"/>
    <w:p w:rsidR="00112D14" w:rsidRPr="000225F7" w:rsidRDefault="00112D14" w:rsidP="00112D14">
      <w:r w:rsidRPr="000225F7">
        <w:t>Forslaget skønnes umiddelbart ikke at have væsentlige statsfinansielle eller administrative konsekvenser for det offentlige eller konsekvenser for EU’s budget.</w:t>
      </w:r>
    </w:p>
    <w:p w:rsidR="00112D14" w:rsidRPr="000225F7" w:rsidRDefault="00112D14" w:rsidP="00112D14"/>
    <w:p w:rsidR="00112D14" w:rsidRPr="000225F7" w:rsidRDefault="00112D14" w:rsidP="00112D14">
      <w:r w:rsidRPr="000225F7">
        <w:t>Forslaget skønnes ikke at have væsentlige samfundsøkonomiske konsekvenser.</w:t>
      </w:r>
    </w:p>
    <w:p w:rsidR="00112D14" w:rsidRPr="000225F7" w:rsidRDefault="00112D14" w:rsidP="00112D14"/>
    <w:p w:rsidR="00112D14" w:rsidRPr="000225F7" w:rsidRDefault="00112D14" w:rsidP="00112D14">
      <w:r w:rsidRPr="000225F7">
        <w:t xml:space="preserve">Forslaget skønnes på længere sigt at have visse positive erhvervsøkonomiske konsekvenser. En forenkling og regionalisering af den tekniske regulering af fiskeriet forventes at fremme anvendelsen af selektive redskaber og fiskerimetoder. Dette vil medvirke til implementeringen af landingsforpligtelsen samt bidrage til at opfylde målet om fiskeri på </w:t>
      </w:r>
      <w:proofErr w:type="spellStart"/>
      <w:r w:rsidRPr="000225F7">
        <w:t>MSY-niveau</w:t>
      </w:r>
      <w:proofErr w:type="spellEnd"/>
      <w:r w:rsidRPr="000225F7">
        <w:t xml:space="preserve"> og reducere mængden af uønskede fangster, hvilket igen kan resultere i økonomiske fordele for fiskerierhvervet som følge af øgede fiskerimuligheder. Samtidig skønnes det, at en forenkling af reglerne også vil resultere i en vis lempelse i de administrative byrder for erhvervet.</w:t>
      </w:r>
    </w:p>
    <w:p w:rsidR="00112D14" w:rsidRPr="000225F7" w:rsidRDefault="00112D14" w:rsidP="00112D14"/>
    <w:p w:rsidR="00112D14" w:rsidRPr="000225F7" w:rsidRDefault="00112D14" w:rsidP="00112D14">
      <w:r w:rsidRPr="000225F7">
        <w:t>Forslaget forventes på lang sigt at have en vis positiv virkning for miljøet, idet en forenkling og regionalisering af den tekniske regulering af fiskeriet forventes at fremme anvendelsen af mere selektive redskaber og mere skånsomme fiskerimetoder, og forbedre anvendelsen af mekanismen med lukkede områder, hvilket vil bidrage til at opfylde målet om et bæredygtigt fiskeri og reducere mængden af uønskede fangster samt beskyttelse af følsomme arter og levesteder og sårbare økosystemer.</w:t>
      </w:r>
    </w:p>
    <w:p w:rsidR="00112D14" w:rsidRPr="000C7EF4" w:rsidRDefault="00112D14" w:rsidP="00112D14">
      <w:pPr>
        <w:rPr>
          <w:rFonts w:eastAsia="SimSun"/>
          <w:b/>
          <w:szCs w:val="26"/>
          <w:lang w:eastAsia="da-DK"/>
        </w:rPr>
      </w:pPr>
    </w:p>
    <w:p w:rsidR="00112D14" w:rsidRPr="000C7EF4" w:rsidRDefault="00112D14" w:rsidP="00112D14">
      <w:pPr>
        <w:rPr>
          <w:rFonts w:eastAsia="SimSun"/>
          <w:b/>
          <w:szCs w:val="26"/>
          <w:lang w:eastAsia="da-DK"/>
        </w:rPr>
      </w:pPr>
      <w:r w:rsidRPr="000C7EF4">
        <w:rPr>
          <w:rFonts w:eastAsia="SimSun"/>
          <w:b/>
          <w:szCs w:val="26"/>
          <w:lang w:eastAsia="da-DK"/>
        </w:rPr>
        <w:t>8. Høring</w:t>
      </w:r>
    </w:p>
    <w:p w:rsidR="00112D14" w:rsidRPr="000225F7" w:rsidRDefault="00112D14" w:rsidP="00112D14">
      <w:pPr>
        <w:rPr>
          <w:szCs w:val="26"/>
        </w:rPr>
      </w:pPr>
      <w:r w:rsidRPr="000225F7">
        <w:rPr>
          <w:szCs w:val="26"/>
        </w:rPr>
        <w:t>Forslaget har været i høring i</w:t>
      </w:r>
      <w:proofErr w:type="gramStart"/>
      <w:r w:rsidRPr="000225F7">
        <w:rPr>
          <w:szCs w:val="26"/>
        </w:rPr>
        <w:t xml:space="preserve"> §5</w:t>
      </w:r>
      <w:proofErr w:type="gramEnd"/>
      <w:r w:rsidRPr="000225F7">
        <w:rPr>
          <w:szCs w:val="26"/>
        </w:rPr>
        <w:t xml:space="preserve">-udvalget (fiskeri) og i §7-udvalget (rekreativt fiskeri, ferskvandsfiskeri og fiskepleje), hvor der indkommet følgende bemærkninger: </w:t>
      </w:r>
    </w:p>
    <w:p w:rsidR="00112D14" w:rsidRPr="000225F7" w:rsidRDefault="00112D14" w:rsidP="00112D14">
      <w:pPr>
        <w:rPr>
          <w:szCs w:val="26"/>
        </w:rPr>
      </w:pPr>
    </w:p>
    <w:p w:rsidR="00112D14" w:rsidRPr="000225F7" w:rsidRDefault="00112D14" w:rsidP="00112D14">
      <w:pPr>
        <w:rPr>
          <w:szCs w:val="26"/>
        </w:rPr>
      </w:pPr>
      <w:r w:rsidRPr="000225F7">
        <w:rPr>
          <w:szCs w:val="26"/>
          <w:u w:val="single"/>
        </w:rPr>
        <w:t>Danmarks Fiskeriforening Producent Organisation (DFPO)</w:t>
      </w:r>
      <w:r w:rsidRPr="000225F7">
        <w:rPr>
          <w:szCs w:val="26"/>
        </w:rPr>
        <w:t xml:space="preserve"> har længe efterlyst en revision af de tekniske foranstaltninger i den fælles fiskeripolitik, dels for at få reduceret </w:t>
      </w:r>
      <w:proofErr w:type="spellStart"/>
      <w:r w:rsidRPr="000225F7">
        <w:rPr>
          <w:szCs w:val="26"/>
        </w:rPr>
        <w:t>discard</w:t>
      </w:r>
      <w:proofErr w:type="spellEnd"/>
      <w:r w:rsidRPr="000225F7">
        <w:rPr>
          <w:szCs w:val="26"/>
        </w:rPr>
        <w:t xml:space="preserve"> i fiskeriet, dels for at få gjort reglerne mindre komplekse og dels for i større omfang at skabe mulighed for, at den enkelte fisker har råderum og incitament til at fiske så selektivt som muligt.</w:t>
      </w:r>
    </w:p>
    <w:p w:rsidR="00112D14" w:rsidRPr="000225F7" w:rsidRDefault="00112D14" w:rsidP="00112D14">
      <w:pPr>
        <w:rPr>
          <w:szCs w:val="26"/>
        </w:rPr>
      </w:pPr>
    </w:p>
    <w:p w:rsidR="00112D14" w:rsidRPr="000225F7" w:rsidRDefault="00112D14" w:rsidP="00112D14">
      <w:pPr>
        <w:rPr>
          <w:szCs w:val="26"/>
        </w:rPr>
      </w:pPr>
      <w:r w:rsidRPr="000225F7">
        <w:rPr>
          <w:szCs w:val="26"/>
        </w:rPr>
        <w:t>DFPO finder det derfor positivt, at Kommissionens nu langt om længe har fremlagt et forslag og</w:t>
      </w:r>
      <w:r>
        <w:rPr>
          <w:szCs w:val="26"/>
        </w:rPr>
        <w:t xml:space="preserve"> at </w:t>
      </w:r>
      <w:r w:rsidRPr="000225F7">
        <w:rPr>
          <w:szCs w:val="26"/>
        </w:rPr>
        <w:t>Kommissionen med sit forslag forsøger at skabe større regionalisering – og formodentligt forenkling – i EU’s fiskeripolitik. Det er også positivt, at man bestræber sig for at sikre en rammeforordning, der indeholder generelle principper for de tekniske regler for fiskeriet, der skal danne basis for lige rammevilkår (”</w:t>
      </w:r>
      <w:proofErr w:type="spellStart"/>
      <w:r w:rsidRPr="000225F7">
        <w:rPr>
          <w:szCs w:val="26"/>
        </w:rPr>
        <w:t>level</w:t>
      </w:r>
      <w:proofErr w:type="spellEnd"/>
      <w:r w:rsidRPr="000225F7">
        <w:rPr>
          <w:szCs w:val="26"/>
        </w:rPr>
        <w:t xml:space="preserve"> </w:t>
      </w:r>
      <w:proofErr w:type="spellStart"/>
      <w:r w:rsidRPr="000225F7">
        <w:rPr>
          <w:szCs w:val="26"/>
        </w:rPr>
        <w:t>playing</w:t>
      </w:r>
      <w:proofErr w:type="spellEnd"/>
      <w:r w:rsidRPr="000225F7">
        <w:rPr>
          <w:szCs w:val="26"/>
        </w:rPr>
        <w:t xml:space="preserve"> </w:t>
      </w:r>
      <w:proofErr w:type="spellStart"/>
      <w:r w:rsidRPr="000225F7">
        <w:rPr>
          <w:szCs w:val="26"/>
        </w:rPr>
        <w:t>field</w:t>
      </w:r>
      <w:proofErr w:type="spellEnd"/>
      <w:r w:rsidRPr="000225F7">
        <w:rPr>
          <w:szCs w:val="26"/>
        </w:rPr>
        <w:t>”) på tværs af hele EU, mens de detaljerede tekniske regler besluttes på regionalt niveau.</w:t>
      </w:r>
    </w:p>
    <w:p w:rsidR="00112D14" w:rsidRPr="000225F7" w:rsidRDefault="00112D14" w:rsidP="00112D14">
      <w:pPr>
        <w:rPr>
          <w:szCs w:val="26"/>
        </w:rPr>
      </w:pPr>
    </w:p>
    <w:p w:rsidR="00112D14" w:rsidRPr="000225F7" w:rsidRDefault="00112D14" w:rsidP="00112D14">
      <w:pPr>
        <w:rPr>
          <w:szCs w:val="26"/>
        </w:rPr>
      </w:pPr>
      <w:r w:rsidRPr="000225F7">
        <w:rPr>
          <w:szCs w:val="26"/>
        </w:rPr>
        <w:t xml:space="preserve">Efter </w:t>
      </w:r>
      <w:proofErr w:type="spellStart"/>
      <w:r w:rsidRPr="000225F7">
        <w:rPr>
          <w:szCs w:val="26"/>
        </w:rPr>
        <w:t>DFPO’s</w:t>
      </w:r>
      <w:proofErr w:type="spellEnd"/>
      <w:r w:rsidRPr="000225F7">
        <w:rPr>
          <w:szCs w:val="26"/>
        </w:rPr>
        <w:t xml:space="preserve"> opfattelse er det absolut begrænset, hvad der bør være af indhold i en sådan rammeforordning. En rammeforordning skal ikke indeholde en gentagelse og viderefortolkning af allerede eksisterende lovtekster, som det desværre faktisk er tilfældet i Kommissionens forslag. Det er også problematisk, at hvor de nuværende tekniske regler klart har fokus på fiskeriets indvirkning på fiskebestandene, så forsøger Kommissionen med sit forslag i større omfang at inddrage miljøbeskyttelse mere generelt i rammeforordningen og derved gøres teksten mere kontroversiel. Følgelig må det forventes, at det gør at delegering af beslutningskompetence til Kommissionen på en række centrale emner vil blive centrale i Rådets og Europa-Parlamentets forhandlinger om forslaget i Bruxelles.</w:t>
      </w:r>
    </w:p>
    <w:p w:rsidR="00112D14" w:rsidRPr="000225F7" w:rsidRDefault="00112D14" w:rsidP="00112D14">
      <w:pPr>
        <w:rPr>
          <w:szCs w:val="26"/>
        </w:rPr>
      </w:pPr>
    </w:p>
    <w:p w:rsidR="00112D14" w:rsidRPr="000225F7" w:rsidRDefault="00112D14" w:rsidP="00112D14">
      <w:pPr>
        <w:rPr>
          <w:szCs w:val="26"/>
        </w:rPr>
      </w:pPr>
      <w:r w:rsidRPr="000225F7">
        <w:rPr>
          <w:szCs w:val="26"/>
        </w:rPr>
        <w:t xml:space="preserve">Det er samtidig problematisk, at Kommissionen foreslår, at der </w:t>
      </w:r>
      <w:proofErr w:type="gramStart"/>
      <w:r w:rsidRPr="000225F7">
        <w:rPr>
          <w:szCs w:val="26"/>
        </w:rPr>
        <w:t>fastlægges egentlige</w:t>
      </w:r>
      <w:proofErr w:type="gramEnd"/>
      <w:r w:rsidRPr="000225F7">
        <w:rPr>
          <w:szCs w:val="26"/>
        </w:rPr>
        <w:t xml:space="preserve"> overordnede mål for de tekniske regler – for de tekniske regler bør alene være at betragte som et redskab til at sikre en bæredygtig udnyttelse af fiskeriressourcer. Mål i EU’s fiskeripolitik skal fastlægges i grundforordningen og de relevante forvaltningsplaner – ikke for de enkelte redskaber i værktøjskassen.</w:t>
      </w:r>
    </w:p>
    <w:p w:rsidR="00112D14" w:rsidRPr="000225F7" w:rsidRDefault="00112D14" w:rsidP="00112D14">
      <w:pPr>
        <w:rPr>
          <w:szCs w:val="26"/>
        </w:rPr>
      </w:pPr>
    </w:p>
    <w:p w:rsidR="00112D14" w:rsidRPr="000225F7" w:rsidRDefault="00112D14" w:rsidP="00112D14">
      <w:pPr>
        <w:rPr>
          <w:szCs w:val="26"/>
        </w:rPr>
      </w:pPr>
      <w:r w:rsidRPr="000225F7">
        <w:rPr>
          <w:szCs w:val="26"/>
        </w:rPr>
        <w:t xml:space="preserve">Det er </w:t>
      </w:r>
      <w:proofErr w:type="spellStart"/>
      <w:r w:rsidRPr="000225F7">
        <w:rPr>
          <w:szCs w:val="26"/>
        </w:rPr>
        <w:t>DFPO’s</w:t>
      </w:r>
      <w:proofErr w:type="spellEnd"/>
      <w:r w:rsidRPr="000225F7">
        <w:rPr>
          <w:szCs w:val="26"/>
        </w:rPr>
        <w:t xml:space="preserve"> klare opfattelse, at tekniske foranstaltninger - i det omfang de er relevante - mest hensigtsmæssigt behandles på regionalt plan i forbindelse med de relevante forvaltningsplaner og gennem en dialog med relevante interessenter.</w:t>
      </w:r>
    </w:p>
    <w:p w:rsidR="00112D14" w:rsidRPr="000225F7" w:rsidRDefault="00112D14" w:rsidP="00112D14">
      <w:pPr>
        <w:rPr>
          <w:szCs w:val="26"/>
        </w:rPr>
      </w:pPr>
      <w:r w:rsidRPr="000225F7">
        <w:rPr>
          <w:szCs w:val="26"/>
        </w:rPr>
        <w:t xml:space="preserve"> </w:t>
      </w:r>
    </w:p>
    <w:p w:rsidR="00112D14" w:rsidRPr="000225F7" w:rsidRDefault="00112D14" w:rsidP="00112D14">
      <w:pPr>
        <w:rPr>
          <w:szCs w:val="26"/>
        </w:rPr>
      </w:pPr>
      <w:r w:rsidRPr="000225F7">
        <w:rPr>
          <w:szCs w:val="26"/>
        </w:rPr>
        <w:t xml:space="preserve">DFPO finder, at det er nødvendigt, at teksten er fremtidssikret, og finder i den sammenhæng, at mulighederne for at ændre de regionale regler er for rigide – det gælder også i det seneste formandskabskompromis. DFPO finder, at der er en lang række punkter, hvor der fortsat er behov for mere arbejde med teksten. Det gælder blandt andet konkrete regler, som efter foreningens opfattelse lægger hindringer i vejen for udvikling af mere selektive redskaber, regler som er uklare, og visse definitioner, som DFPO finder er uanvendelige. Med hensyn til pulstrawl ønsker DFPO, at reglerne afspejler den aftale om, </w:t>
      </w:r>
      <w:r w:rsidRPr="000225F7">
        <w:rPr>
          <w:szCs w:val="26"/>
        </w:rPr>
        <w:lastRenderedPageBreak/>
        <w:t xml:space="preserve">hvor i Nordsøen man må fiske med strøm, som blev indgået i Rådet forud for reformen af den fælles fiskeripolitik. DFPO tager på </w:t>
      </w:r>
      <w:proofErr w:type="gramStart"/>
      <w:r w:rsidRPr="000225F7">
        <w:rPr>
          <w:szCs w:val="26"/>
        </w:rPr>
        <w:t>det</w:t>
      </w:r>
      <w:proofErr w:type="gramEnd"/>
      <w:r w:rsidRPr="000225F7">
        <w:rPr>
          <w:szCs w:val="26"/>
        </w:rPr>
        <w:t xml:space="preserve"> skarpeste afstand fra reglerne om utilsigtede bifangster af hvaler og havfugle, som anses for en stramning af de gældende regler. Det understreges også, at brislingekassen skal udgå af teksten. </w:t>
      </w:r>
    </w:p>
    <w:p w:rsidR="00112D14" w:rsidRPr="000225F7" w:rsidRDefault="00112D14" w:rsidP="00112D14">
      <w:pPr>
        <w:rPr>
          <w:szCs w:val="26"/>
        </w:rPr>
      </w:pPr>
    </w:p>
    <w:p w:rsidR="00112D14" w:rsidRDefault="00112D14" w:rsidP="00112D14">
      <w:pPr>
        <w:rPr>
          <w:szCs w:val="26"/>
        </w:rPr>
      </w:pPr>
      <w:r w:rsidRPr="000225F7">
        <w:rPr>
          <w:szCs w:val="26"/>
        </w:rPr>
        <w:t xml:space="preserve">I forhold til Østersøen understreges det, at hvis fiskeriet skal have en chance for at blive udført i overensstemmelse med de gældende mindstemål, så er det afgørende, at der gives tilladelse til at fiske med en maskevidde på 110 mm (i stedet for i dag 120 mm) i </w:t>
      </w:r>
      <w:proofErr w:type="spellStart"/>
      <w:r w:rsidRPr="000225F7">
        <w:rPr>
          <w:szCs w:val="26"/>
        </w:rPr>
        <w:t>BACOMA-sorteringsvinduet</w:t>
      </w:r>
      <w:proofErr w:type="spellEnd"/>
      <w:r w:rsidRPr="000225F7">
        <w:rPr>
          <w:szCs w:val="26"/>
        </w:rPr>
        <w:t xml:space="preserve">. I forhold til Østersøen understreges det også, at det ikke er tilfredsstillende, at lukningen af gydeområderne i øst opretholdes, men kan accepteres som led i en aftale om ophævelse af lukkeperioderne i øvrigt. </w:t>
      </w:r>
    </w:p>
    <w:p w:rsidR="00112D14" w:rsidRPr="000225F7" w:rsidRDefault="00112D14" w:rsidP="00112D14">
      <w:pPr>
        <w:rPr>
          <w:szCs w:val="26"/>
        </w:rPr>
      </w:pPr>
    </w:p>
    <w:p w:rsidR="00112D14" w:rsidRPr="000225F7" w:rsidRDefault="00112D14" w:rsidP="00112D14">
      <w:pPr>
        <w:rPr>
          <w:szCs w:val="26"/>
        </w:rPr>
      </w:pPr>
      <w:r w:rsidRPr="000225F7">
        <w:rPr>
          <w:szCs w:val="26"/>
        </w:rPr>
        <w:t xml:space="preserve">Med hensyn til </w:t>
      </w:r>
      <w:proofErr w:type="spellStart"/>
      <w:r w:rsidRPr="000225F7">
        <w:rPr>
          <w:szCs w:val="26"/>
        </w:rPr>
        <w:t>maskemål</w:t>
      </w:r>
      <w:proofErr w:type="spellEnd"/>
      <w:r w:rsidRPr="000225F7">
        <w:rPr>
          <w:szCs w:val="26"/>
        </w:rPr>
        <w:t xml:space="preserve"> for sildefiskeri i Nordsøen, Skagerrak og Kattegat bemærkes det, at det ikke har betydning for selektionen, om </w:t>
      </w:r>
      <w:proofErr w:type="spellStart"/>
      <w:r w:rsidRPr="000225F7">
        <w:rPr>
          <w:szCs w:val="26"/>
        </w:rPr>
        <w:t>maskemålet</w:t>
      </w:r>
      <w:proofErr w:type="spellEnd"/>
      <w:r w:rsidRPr="000225F7">
        <w:rPr>
          <w:szCs w:val="26"/>
        </w:rPr>
        <w:t xml:space="preserve"> nedsættes fra 32 mm til 16 mm, men en beslutning om </w:t>
      </w:r>
      <w:proofErr w:type="spellStart"/>
      <w:r w:rsidRPr="000225F7">
        <w:rPr>
          <w:szCs w:val="26"/>
        </w:rPr>
        <w:t>maskemål</w:t>
      </w:r>
      <w:proofErr w:type="spellEnd"/>
      <w:r w:rsidRPr="000225F7">
        <w:rPr>
          <w:szCs w:val="26"/>
        </w:rPr>
        <w:t xml:space="preserve"> må ifølge DFPO på ingen måde berøre sildebifangstkvoten. Endvidere har DFPO en række detaljerede tekniske bemærkninger til blandt andet andre </w:t>
      </w:r>
      <w:proofErr w:type="spellStart"/>
      <w:r w:rsidRPr="000225F7">
        <w:rPr>
          <w:szCs w:val="26"/>
        </w:rPr>
        <w:t>maskemål</w:t>
      </w:r>
      <w:proofErr w:type="spellEnd"/>
      <w:r w:rsidRPr="000225F7">
        <w:rPr>
          <w:szCs w:val="26"/>
        </w:rPr>
        <w:t xml:space="preserve"> m.v.</w:t>
      </w:r>
    </w:p>
    <w:p w:rsidR="00112D14" w:rsidRPr="000225F7" w:rsidRDefault="00112D14" w:rsidP="00112D14">
      <w:pPr>
        <w:rPr>
          <w:szCs w:val="26"/>
        </w:rPr>
      </w:pPr>
    </w:p>
    <w:p w:rsidR="00112D14" w:rsidRPr="000225F7" w:rsidRDefault="00112D14" w:rsidP="00112D14">
      <w:pPr>
        <w:pStyle w:val="Listeafsnit"/>
        <w:spacing w:after="0" w:line="240" w:lineRule="auto"/>
        <w:ind w:left="0"/>
        <w:rPr>
          <w:rFonts w:ascii="Garamond" w:hAnsi="Garamond"/>
          <w:sz w:val="26"/>
          <w:szCs w:val="26"/>
        </w:rPr>
      </w:pPr>
      <w:r w:rsidRPr="000225F7">
        <w:rPr>
          <w:rFonts w:ascii="Garamond" w:hAnsi="Garamond"/>
          <w:sz w:val="26"/>
          <w:szCs w:val="26"/>
          <w:u w:val="single"/>
        </w:rPr>
        <w:t>Danmarks Pelagiske Producentorganisation (DPPO)</w:t>
      </w:r>
      <w:r w:rsidRPr="000225F7">
        <w:rPr>
          <w:rFonts w:ascii="Garamond" w:hAnsi="Garamond"/>
          <w:sz w:val="26"/>
          <w:szCs w:val="26"/>
        </w:rPr>
        <w:t xml:space="preserve"> deler generelt </w:t>
      </w:r>
      <w:proofErr w:type="spellStart"/>
      <w:r w:rsidRPr="000225F7">
        <w:rPr>
          <w:rFonts w:ascii="Garamond" w:hAnsi="Garamond"/>
          <w:sz w:val="26"/>
          <w:szCs w:val="26"/>
        </w:rPr>
        <w:t>DFPO’s</w:t>
      </w:r>
      <w:proofErr w:type="spellEnd"/>
      <w:r w:rsidRPr="000225F7">
        <w:rPr>
          <w:rFonts w:ascii="Garamond" w:hAnsi="Garamond"/>
          <w:sz w:val="26"/>
          <w:szCs w:val="26"/>
        </w:rPr>
        <w:t xml:space="preserve"> bemærkninger om behovet for dels for at få gjort reglerne mindre komplekse og dels for i større omfang at skabe mulighed for, at den enkelte fisker har råderum og incitament til at fiske så selektivt som muligt efter indførelsen af landingsforpligtigelsen i de pelagiske fiskerier i 2015. DPPO har i den forbindelse bl.a. generelt anbefalet, at bevarelsesmæssige mindstereferencestørrelser og </w:t>
      </w:r>
      <w:proofErr w:type="spellStart"/>
      <w:r w:rsidRPr="000225F7">
        <w:rPr>
          <w:rFonts w:ascii="Garamond" w:hAnsi="Garamond"/>
          <w:sz w:val="26"/>
          <w:szCs w:val="26"/>
        </w:rPr>
        <w:t>mindstemaskebestemmelser</w:t>
      </w:r>
      <w:proofErr w:type="spellEnd"/>
      <w:r w:rsidRPr="000225F7">
        <w:rPr>
          <w:rFonts w:ascii="Garamond" w:hAnsi="Garamond"/>
          <w:sz w:val="26"/>
          <w:szCs w:val="26"/>
        </w:rPr>
        <w:t xml:space="preserve"> for de pelagiske arter/fiskerier bør fjernes. DPPO understreger også de pelagiske bestandes særlige karakteristika, herunder at bestandene bevæger sig mellem flere forvaltningsområder, og finder derfor, at der bør udarbejdes et særskilt bilag på tværs af alle områder med regler for det pelagiske fiskeri. DPPO ønsker desuden fjernelse af forbuddene mod fysisk og kemisk forarbejdning af fisk og mod anvendelse af sorteringsanlæg om bord på fiskerfartøjer. Endvidere har DPPO fremført en række detaljerede bemærkninger til de konkrete artikler og bilag.</w:t>
      </w:r>
    </w:p>
    <w:p w:rsidR="00112D14" w:rsidRPr="000225F7" w:rsidRDefault="00112D14" w:rsidP="00112D14">
      <w:pPr>
        <w:rPr>
          <w:szCs w:val="26"/>
        </w:rPr>
      </w:pPr>
    </w:p>
    <w:p w:rsidR="00112D14" w:rsidRPr="000225F7" w:rsidRDefault="00112D14" w:rsidP="00112D14">
      <w:pPr>
        <w:rPr>
          <w:szCs w:val="26"/>
        </w:rPr>
      </w:pPr>
      <w:r w:rsidRPr="000225F7">
        <w:rPr>
          <w:szCs w:val="26"/>
        </w:rPr>
        <w:t xml:space="preserve">DPPO deler ligeledes </w:t>
      </w:r>
      <w:proofErr w:type="spellStart"/>
      <w:r w:rsidRPr="000225F7">
        <w:rPr>
          <w:szCs w:val="26"/>
        </w:rPr>
        <w:t>DFPO’s</w:t>
      </w:r>
      <w:proofErr w:type="spellEnd"/>
      <w:r w:rsidRPr="000225F7">
        <w:rPr>
          <w:szCs w:val="26"/>
        </w:rPr>
        <w:t xml:space="preserve"> vurdering af rammeforordningens indhold og beklager, at ambitionsniveauet i Kommissionen og i medlemslandene i forhold til en gennemgribende forenkling af de tekniske regler har været langt lavere, end hvad der indledningsvist blev lagt op til, da processen blev indledt tilbage i 2014.  </w:t>
      </w:r>
    </w:p>
    <w:p w:rsidR="00112D14" w:rsidRPr="000225F7" w:rsidRDefault="00112D14" w:rsidP="00112D14">
      <w:pPr>
        <w:rPr>
          <w:szCs w:val="26"/>
        </w:rPr>
      </w:pPr>
      <w:r w:rsidRPr="000225F7">
        <w:rPr>
          <w:szCs w:val="26"/>
        </w:rPr>
        <w:t xml:space="preserve"> </w:t>
      </w:r>
    </w:p>
    <w:p w:rsidR="00112D14" w:rsidRPr="000225F7" w:rsidRDefault="00112D14" w:rsidP="00112D14">
      <w:pPr>
        <w:rPr>
          <w:szCs w:val="26"/>
        </w:rPr>
      </w:pPr>
      <w:r w:rsidRPr="000225F7">
        <w:rPr>
          <w:szCs w:val="26"/>
        </w:rPr>
        <w:t xml:space="preserve">DPPO understreger nødvendigheden af at sikre, at forslaget er fremtidssikret og langtidsholdbar, og at processen derfor ikke bør hastes igennem.  I den forbindelse henviser DPPO særligt til vigtigheden af behovet for at tage højde for evt. konsekvenser af </w:t>
      </w:r>
      <w:proofErr w:type="spellStart"/>
      <w:r w:rsidRPr="000225F7">
        <w:rPr>
          <w:szCs w:val="26"/>
        </w:rPr>
        <w:t>Brexit</w:t>
      </w:r>
      <w:proofErr w:type="spellEnd"/>
      <w:r w:rsidRPr="000225F7">
        <w:rPr>
          <w:szCs w:val="26"/>
        </w:rPr>
        <w:t xml:space="preserve">, som kan ændre visse fiskerimønstre og indebære et øget behov for udvikling af nye fiskerier. Specifikt i forhold til industrifiskeriet og sildebifangstkvoten har DPPO understreget vigtigheden af at sikre, at de tekniske regler ikke ændrer på grundlaget for dette fiskeri og den tilknyttede sildebifangstkvote. </w:t>
      </w:r>
    </w:p>
    <w:p w:rsidR="00112D14" w:rsidRPr="000225F7" w:rsidRDefault="00112D14" w:rsidP="00112D14">
      <w:pPr>
        <w:pStyle w:val="Listeafsnit"/>
        <w:spacing w:after="0" w:line="240" w:lineRule="auto"/>
        <w:ind w:left="0"/>
        <w:rPr>
          <w:rFonts w:ascii="Garamond" w:hAnsi="Garamond"/>
          <w:sz w:val="26"/>
          <w:szCs w:val="26"/>
          <w:u w:val="single"/>
        </w:rPr>
      </w:pPr>
    </w:p>
    <w:p w:rsidR="00112D14" w:rsidRPr="000225F7" w:rsidRDefault="00112D14" w:rsidP="00112D14">
      <w:pPr>
        <w:pStyle w:val="Listeafsnit"/>
        <w:spacing w:after="0" w:line="240" w:lineRule="auto"/>
        <w:ind w:left="0"/>
        <w:rPr>
          <w:rFonts w:ascii="Garamond" w:hAnsi="Garamond"/>
          <w:sz w:val="26"/>
          <w:szCs w:val="26"/>
        </w:rPr>
      </w:pPr>
      <w:r w:rsidRPr="000225F7">
        <w:rPr>
          <w:rFonts w:ascii="Garamond" w:hAnsi="Garamond"/>
          <w:sz w:val="26"/>
          <w:szCs w:val="26"/>
          <w:u w:val="single"/>
        </w:rPr>
        <w:t xml:space="preserve">Marine </w:t>
      </w:r>
      <w:proofErr w:type="spellStart"/>
      <w:r w:rsidRPr="000225F7">
        <w:rPr>
          <w:rFonts w:ascii="Garamond" w:hAnsi="Garamond"/>
          <w:sz w:val="26"/>
          <w:szCs w:val="26"/>
          <w:u w:val="single"/>
        </w:rPr>
        <w:t>Ingredients</w:t>
      </w:r>
      <w:proofErr w:type="spellEnd"/>
      <w:r w:rsidRPr="000225F7">
        <w:rPr>
          <w:rFonts w:ascii="Garamond" w:hAnsi="Garamond"/>
          <w:sz w:val="26"/>
          <w:szCs w:val="26"/>
          <w:u w:val="single"/>
        </w:rPr>
        <w:t xml:space="preserve"> Denmark (MID)</w:t>
      </w:r>
      <w:r w:rsidRPr="000225F7">
        <w:rPr>
          <w:rFonts w:ascii="Garamond" w:hAnsi="Garamond"/>
          <w:sz w:val="26"/>
          <w:szCs w:val="26"/>
        </w:rPr>
        <w:t xml:space="preserve"> finder det positivt, at der med forslaget forventes en gennemgribende forenkling af de eksisterende regler om tekniske foranstaltninger. Det er vigtigt, at der bliver tale om lige rammevilkår (”</w:t>
      </w:r>
      <w:proofErr w:type="spellStart"/>
      <w:r w:rsidRPr="000225F7">
        <w:rPr>
          <w:rFonts w:ascii="Garamond" w:hAnsi="Garamond"/>
          <w:sz w:val="26"/>
          <w:szCs w:val="26"/>
        </w:rPr>
        <w:t>level</w:t>
      </w:r>
      <w:proofErr w:type="spellEnd"/>
      <w:r w:rsidRPr="000225F7">
        <w:rPr>
          <w:rFonts w:ascii="Garamond" w:hAnsi="Garamond"/>
          <w:sz w:val="26"/>
          <w:szCs w:val="26"/>
        </w:rPr>
        <w:t xml:space="preserve"> </w:t>
      </w:r>
      <w:proofErr w:type="spellStart"/>
      <w:r w:rsidRPr="000225F7">
        <w:rPr>
          <w:rFonts w:ascii="Garamond" w:hAnsi="Garamond"/>
          <w:sz w:val="26"/>
          <w:szCs w:val="26"/>
        </w:rPr>
        <w:t>playing</w:t>
      </w:r>
      <w:proofErr w:type="spellEnd"/>
      <w:r w:rsidRPr="000225F7">
        <w:rPr>
          <w:rFonts w:ascii="Garamond" w:hAnsi="Garamond"/>
          <w:sz w:val="26"/>
          <w:szCs w:val="26"/>
        </w:rPr>
        <w:t xml:space="preserve"> </w:t>
      </w:r>
      <w:proofErr w:type="spellStart"/>
      <w:r w:rsidRPr="000225F7">
        <w:rPr>
          <w:rFonts w:ascii="Garamond" w:hAnsi="Garamond"/>
          <w:sz w:val="26"/>
          <w:szCs w:val="26"/>
        </w:rPr>
        <w:t>field</w:t>
      </w:r>
      <w:proofErr w:type="spellEnd"/>
      <w:r w:rsidRPr="000225F7">
        <w:rPr>
          <w:rFonts w:ascii="Garamond" w:hAnsi="Garamond"/>
          <w:sz w:val="26"/>
          <w:szCs w:val="26"/>
        </w:rPr>
        <w:t xml:space="preserve">”), hvor regionale og lokale særregler og undtagelser undgås. </w:t>
      </w:r>
      <w:proofErr w:type="spellStart"/>
      <w:r w:rsidRPr="000225F7">
        <w:rPr>
          <w:rFonts w:ascii="Garamond" w:hAnsi="Garamond"/>
          <w:sz w:val="26"/>
          <w:szCs w:val="26"/>
        </w:rPr>
        <w:t>Fiskemel-</w:t>
      </w:r>
      <w:proofErr w:type="spellEnd"/>
      <w:r w:rsidRPr="000225F7">
        <w:rPr>
          <w:rFonts w:ascii="Garamond" w:hAnsi="Garamond"/>
          <w:sz w:val="26"/>
          <w:szCs w:val="26"/>
        </w:rPr>
        <w:t xml:space="preserve"> og fiskeolieindustrien er, såvel i Danmark som i Europa, en interesseret potentiel opkøber af </w:t>
      </w:r>
      <w:proofErr w:type="spellStart"/>
      <w:r w:rsidRPr="000225F7">
        <w:rPr>
          <w:rFonts w:ascii="Garamond" w:hAnsi="Garamond"/>
          <w:sz w:val="26"/>
          <w:szCs w:val="26"/>
        </w:rPr>
        <w:t>discardfisk</w:t>
      </w:r>
      <w:proofErr w:type="spellEnd"/>
      <w:r w:rsidRPr="000225F7">
        <w:rPr>
          <w:rFonts w:ascii="Garamond" w:hAnsi="Garamond"/>
          <w:sz w:val="26"/>
          <w:szCs w:val="26"/>
        </w:rPr>
        <w:t xml:space="preserve">. Konkrete undtagelser fra </w:t>
      </w:r>
      <w:proofErr w:type="spellStart"/>
      <w:r w:rsidRPr="000225F7">
        <w:rPr>
          <w:rFonts w:ascii="Garamond" w:hAnsi="Garamond"/>
          <w:sz w:val="26"/>
          <w:szCs w:val="26"/>
        </w:rPr>
        <w:t>discardforbuddet</w:t>
      </w:r>
      <w:proofErr w:type="spellEnd"/>
      <w:r w:rsidRPr="000225F7">
        <w:rPr>
          <w:rFonts w:ascii="Garamond" w:hAnsi="Garamond"/>
          <w:sz w:val="26"/>
          <w:szCs w:val="26"/>
        </w:rPr>
        <w:t xml:space="preserve"> hindrer en fremtidig udnyttelse og værdioptimering af </w:t>
      </w:r>
      <w:proofErr w:type="spellStart"/>
      <w:r w:rsidRPr="000225F7">
        <w:rPr>
          <w:rFonts w:ascii="Garamond" w:hAnsi="Garamond"/>
          <w:sz w:val="26"/>
          <w:szCs w:val="26"/>
        </w:rPr>
        <w:t>discardfisk</w:t>
      </w:r>
      <w:proofErr w:type="spellEnd"/>
      <w:r w:rsidRPr="000225F7">
        <w:rPr>
          <w:rFonts w:ascii="Garamond" w:hAnsi="Garamond"/>
          <w:sz w:val="26"/>
          <w:szCs w:val="26"/>
        </w:rPr>
        <w:t xml:space="preserve">. MID lægger derfor vægt på, at de tekniske regler understøtter landingsforpligtelsen, </w:t>
      </w:r>
      <w:proofErr w:type="spellStart"/>
      <w:r w:rsidRPr="000225F7">
        <w:rPr>
          <w:rFonts w:ascii="Garamond" w:hAnsi="Garamond"/>
          <w:sz w:val="26"/>
          <w:szCs w:val="26"/>
        </w:rPr>
        <w:t>discardplanerne</w:t>
      </w:r>
      <w:proofErr w:type="spellEnd"/>
      <w:r w:rsidRPr="000225F7">
        <w:rPr>
          <w:rFonts w:ascii="Garamond" w:hAnsi="Garamond"/>
          <w:sz w:val="26"/>
          <w:szCs w:val="26"/>
        </w:rPr>
        <w:t xml:space="preserve"> og håndteringen af fanget fisk, så det sikres, at alle fangede fisk, bringes i land, og der sker en reel markedsdannelse af </w:t>
      </w:r>
      <w:proofErr w:type="spellStart"/>
      <w:r w:rsidRPr="000225F7">
        <w:rPr>
          <w:rFonts w:ascii="Garamond" w:hAnsi="Garamond"/>
          <w:sz w:val="26"/>
          <w:szCs w:val="26"/>
        </w:rPr>
        <w:t>discardfisk</w:t>
      </w:r>
      <w:proofErr w:type="spellEnd"/>
      <w:r w:rsidRPr="000225F7">
        <w:rPr>
          <w:rFonts w:ascii="Garamond" w:hAnsi="Garamond"/>
          <w:sz w:val="26"/>
          <w:szCs w:val="26"/>
        </w:rPr>
        <w:t xml:space="preserve">. Foreningen deler </w:t>
      </w:r>
      <w:proofErr w:type="spellStart"/>
      <w:r w:rsidRPr="000225F7">
        <w:rPr>
          <w:rFonts w:ascii="Garamond" w:hAnsi="Garamond"/>
          <w:sz w:val="26"/>
          <w:szCs w:val="26"/>
        </w:rPr>
        <w:t>DFPO’s</w:t>
      </w:r>
      <w:proofErr w:type="spellEnd"/>
      <w:r w:rsidRPr="000225F7">
        <w:rPr>
          <w:rFonts w:ascii="Garamond" w:hAnsi="Garamond"/>
          <w:sz w:val="26"/>
          <w:szCs w:val="26"/>
        </w:rPr>
        <w:t xml:space="preserve"> bekymring i forhold til vigtigheden af at opretholde sildebifangstkvoten. Endvidere understreger foreningen vigtigheden af en fremtidssikring blandt andet med henblik på udvikling af nye fiskerier.</w:t>
      </w:r>
    </w:p>
    <w:p w:rsidR="00112D14" w:rsidRPr="000225F7" w:rsidRDefault="00112D14" w:rsidP="00112D14">
      <w:pPr>
        <w:rPr>
          <w:rFonts w:cs="Arial"/>
          <w:color w:val="000000"/>
          <w:szCs w:val="26"/>
          <w:u w:val="single"/>
        </w:rPr>
      </w:pPr>
    </w:p>
    <w:p w:rsidR="00112D14" w:rsidRPr="000225F7" w:rsidRDefault="00112D14" w:rsidP="00112D14">
      <w:pPr>
        <w:rPr>
          <w:noProof/>
          <w:szCs w:val="26"/>
        </w:rPr>
      </w:pPr>
      <w:r w:rsidRPr="000225F7">
        <w:rPr>
          <w:rFonts w:cs="Arial"/>
          <w:szCs w:val="26"/>
          <w:u w:val="single"/>
        </w:rPr>
        <w:lastRenderedPageBreak/>
        <w:t>Dansk Sportsdykker Forbund (DSDF)</w:t>
      </w:r>
      <w:r w:rsidRPr="000225F7">
        <w:rPr>
          <w:rFonts w:cs="Arial"/>
          <w:szCs w:val="26"/>
        </w:rPr>
        <w:t xml:space="preserve"> har fremsat bemærkninger vedrørende undervandsharpuner i forslaget. Dansk Sportsdykker Forbund finder ikke, at den pågældende bestemmelse skal indgå i vedtagelsen af forslaget. Det er </w:t>
      </w:r>
      <w:proofErr w:type="spellStart"/>
      <w:r w:rsidRPr="000225F7">
        <w:rPr>
          <w:rFonts w:cs="Arial"/>
          <w:szCs w:val="26"/>
        </w:rPr>
        <w:t>DSDF’s</w:t>
      </w:r>
      <w:proofErr w:type="spellEnd"/>
      <w:r w:rsidRPr="000225F7">
        <w:rPr>
          <w:rFonts w:cs="Arial"/>
          <w:szCs w:val="26"/>
        </w:rPr>
        <w:t xml:space="preserve"> opfattelse, at et generelt forbud er ubegrundet, og at et eventuelt forbud kan </w:t>
      </w:r>
      <w:r w:rsidRPr="000225F7">
        <w:rPr>
          <w:noProof/>
          <w:szCs w:val="26"/>
        </w:rPr>
        <w:t xml:space="preserve">gennemføres som en delegeret retsakt på baggrund af indstilling fra de regionale samarbejder under fiskeripolitikken. Dette vil muliggøre en regulering, hvor det er hensigtsmæssigt og friholde andre områder fra et forbud. </w:t>
      </w:r>
      <w:r w:rsidRPr="000225F7">
        <w:rPr>
          <w:rFonts w:cs="Arial"/>
          <w:szCs w:val="26"/>
        </w:rPr>
        <w:t xml:space="preserve">DSDF </w:t>
      </w:r>
      <w:r w:rsidRPr="000225F7">
        <w:rPr>
          <w:noProof/>
          <w:szCs w:val="26"/>
        </w:rPr>
        <w:t xml:space="preserve">mener, at det med fiskeripolitikkens regionalisering i danske farvande vil være i strid med nærhedsprincippet, såfremt EU’s medlemsstater afskæres fra at regulere området gennem regionalt baserede retsakter. </w:t>
      </w:r>
    </w:p>
    <w:p w:rsidR="00112D14" w:rsidRPr="000225F7" w:rsidRDefault="00112D14" w:rsidP="00112D14">
      <w:pPr>
        <w:rPr>
          <w:noProof/>
          <w:szCs w:val="26"/>
        </w:rPr>
      </w:pPr>
    </w:p>
    <w:p w:rsidR="00112D14" w:rsidRPr="000225F7" w:rsidRDefault="00112D14" w:rsidP="00112D14">
      <w:pPr>
        <w:rPr>
          <w:noProof/>
          <w:szCs w:val="26"/>
        </w:rPr>
      </w:pPr>
      <w:r w:rsidRPr="000225F7">
        <w:rPr>
          <w:rFonts w:cs="Arial"/>
          <w:szCs w:val="26"/>
        </w:rPr>
        <w:t xml:space="preserve">DSDF </w:t>
      </w:r>
      <w:r w:rsidRPr="000225F7">
        <w:rPr>
          <w:noProof/>
          <w:szCs w:val="26"/>
        </w:rPr>
        <w:t>bemærker, at der ikke er noget ressourceudnyttelseshensyn, der giver grundlag for at forbyde jagt med undervandsharpuner. Der er tale om et meget selektivt fiskeri, og fangsterne er helt ubetydelige i de nordlige EU farvande. Forbundet finder det ikke rigtigt eller rimeligt at blive sidestillet med stærkt skadelige fiskerier som dynamitfiskeri og fiskeri med gift. Jagt med undervandsharpuner med dykkerflasker praktiseres i mindre omfang i Danmark af de godt 10.000 sportsdykkere. Det anslås, at danske flaskedykkere fanger ca. 5 tons fladfisk (primært skrubber) og 5 tons torsk per år. Det anføres videre af forbundet, at jagt med undervandsharpuner om natten praktiseres i nogen grad af de ca. 5.000 jægere, der findes i Danmark. Det foregår ved snorkeldykning og er specielt målrettet havørred, tunge og pighvar. Der anslås en samlet havørredfangst på 5-10 tons. Der er tale om en meget målrettet fiskemetode, der ikke påvirker havbunden, og hvor der ikke sker skade på undermålsfisk. En begrænsning af jagt med undervandsharpuner vil efter forbundets opfattelse være et væsentligt tilbageslag for det danske rekreative fiskeri.</w:t>
      </w:r>
    </w:p>
    <w:p w:rsidR="00112D14" w:rsidRPr="000225F7" w:rsidRDefault="00112D14" w:rsidP="00112D14">
      <w:pPr>
        <w:rPr>
          <w:noProof/>
          <w:szCs w:val="26"/>
        </w:rPr>
      </w:pPr>
    </w:p>
    <w:p w:rsidR="00112D14" w:rsidRPr="000225F7" w:rsidRDefault="00112D14" w:rsidP="00112D14">
      <w:pPr>
        <w:rPr>
          <w:noProof/>
          <w:szCs w:val="26"/>
        </w:rPr>
      </w:pPr>
      <w:r w:rsidRPr="000225F7">
        <w:rPr>
          <w:noProof/>
          <w:szCs w:val="26"/>
        </w:rPr>
        <w:t xml:space="preserve">DSDF, UV-jagtudvalget, har i forhold til det seneste kompromisforslag fra formandskabet udtrykt sin </w:t>
      </w:r>
      <w:r w:rsidRPr="000225F7">
        <w:rPr>
          <w:szCs w:val="26"/>
        </w:rPr>
        <w:t>tilfredshed med, at undervandsjagt om natten og undervandsjagt med iltflasker er blevet regionaliseret. Opfattelsen er, at disse to fiskemetoder er meget skånsomme og vigtige for det rekreative fiskeri.</w:t>
      </w:r>
    </w:p>
    <w:p w:rsidR="00112D14" w:rsidRPr="000225F7" w:rsidRDefault="00112D14" w:rsidP="00112D14">
      <w:pPr>
        <w:rPr>
          <w:noProof/>
          <w:szCs w:val="26"/>
        </w:rPr>
      </w:pPr>
      <w:r w:rsidRPr="000225F7">
        <w:rPr>
          <w:noProof/>
          <w:szCs w:val="26"/>
        </w:rPr>
        <w:t> </w:t>
      </w:r>
    </w:p>
    <w:p w:rsidR="00112D14" w:rsidRPr="000225F7" w:rsidRDefault="00112D14" w:rsidP="00112D14">
      <w:pPr>
        <w:rPr>
          <w:noProof/>
          <w:szCs w:val="26"/>
        </w:rPr>
      </w:pPr>
      <w:r w:rsidRPr="000225F7">
        <w:rPr>
          <w:noProof/>
          <w:szCs w:val="26"/>
          <w:u w:val="single"/>
        </w:rPr>
        <w:t>Danmarks Sportsfiskerforbund (DSFF)</w:t>
      </w:r>
      <w:r w:rsidRPr="000225F7">
        <w:rPr>
          <w:noProof/>
          <w:szCs w:val="26"/>
        </w:rPr>
        <w:t xml:space="preserve"> bemærker, at forbundet støtter udgangspunktet om, at de overordnede retningslinjer, som beskriver vilkårene for fiskeriet i hele EU, bør være ens. Forbundet er også helt enig i, at det er op til de enkelte medlemslande omkring et geografisk begrænset område at beskrive og gennemføre, hvordan det bæredygtige fiskeri bedst kan gennemføres. I forhold til bevarelsesmæssige mindstereferencestørrelser giver det ifølge DSFF som udgangspunkt god mening, at udøvere af det rekreative fiskeri ikke bør fiske efter marine arter, som er under et bæredygtigt niveau. Forbundet bemærker dog, at det rekreative fiskeri ikke som udgangspunkt bør reguleres ligesom det erhvervsmæssige, blandt andet fordi en meget stram regulering i mange tilfælde ikke vil gavne fiskebestandene på grund af de ofte stærkt begrænsede fangstmængder i det rekreative fiskeri. Desuden har det rekreative fiskeri i mange tilfælde en stor socioøkonomisk og rekreativ værdi, og forbundet lægger vægt på, at foranstaltninger skal træffes under hensyn til fiskeriets socio</w:t>
      </w:r>
      <w:r w:rsidRPr="000225F7">
        <w:rPr>
          <w:noProof/>
          <w:szCs w:val="26"/>
        </w:rPr>
        <w:softHyphen/>
        <w:t>økonomiske værdi.</w:t>
      </w:r>
    </w:p>
    <w:p w:rsidR="00112D14" w:rsidRPr="000225F7" w:rsidRDefault="00112D14" w:rsidP="00112D14">
      <w:pPr>
        <w:rPr>
          <w:noProof/>
          <w:szCs w:val="26"/>
        </w:rPr>
      </w:pPr>
      <w:r w:rsidRPr="000225F7">
        <w:rPr>
          <w:noProof/>
          <w:szCs w:val="26"/>
        </w:rPr>
        <w:t> </w:t>
      </w:r>
    </w:p>
    <w:p w:rsidR="00112D14" w:rsidRPr="000225F7" w:rsidRDefault="00112D14" w:rsidP="00112D14">
      <w:pPr>
        <w:rPr>
          <w:noProof/>
          <w:szCs w:val="26"/>
        </w:rPr>
      </w:pPr>
      <w:r w:rsidRPr="000225F7">
        <w:rPr>
          <w:noProof/>
          <w:szCs w:val="26"/>
        </w:rPr>
        <w:t>Med hensyn til forslaget om forbudte fiskeredskaber og fangstmetoder støtter DSFF ubetinget forbud mod alle de nævnte metoder (fra a) til og med g) i artikel 7), dog mener forbundet, at elektrisk strøm under ingen omstændigheder bør kunne anvendes. Forbundet er derimod uforstående over for, at undervandsharpuner og brugen af dem om natten nævnes i denne sammenhæng. Dette fiskeri bør ifølge forbundet ikke reguleres for hele EU ud fra betragtningen om, at en helt generel regulering i hele EU vil være alt for unuanceret. Forbundet mener, at dette bør reguleres regionalt – og som altid med udgangspunkt i en vidensbaseret tilgang med fokus på at sikre et bæredygtigt fiskeri. Det oplyses i den forbindelse, at DSFF netop er i dialog med DSDF med henblik på at formulere nogle retningslinjer, der kan sikre et bæredygtigt fiskeri med harpuner.</w:t>
      </w:r>
    </w:p>
    <w:p w:rsidR="00112D14" w:rsidRPr="000225F7" w:rsidRDefault="00112D14" w:rsidP="00112D14">
      <w:pPr>
        <w:rPr>
          <w:noProof/>
          <w:szCs w:val="26"/>
        </w:rPr>
      </w:pPr>
    </w:p>
    <w:p w:rsidR="00112D14" w:rsidRPr="000225F7" w:rsidRDefault="00112D14" w:rsidP="00112D14">
      <w:pPr>
        <w:rPr>
          <w:noProof/>
          <w:szCs w:val="26"/>
        </w:rPr>
      </w:pPr>
      <w:r w:rsidRPr="000225F7">
        <w:rPr>
          <w:szCs w:val="26"/>
          <w:u w:val="single"/>
        </w:rPr>
        <w:t>Dansk Akvakultur</w:t>
      </w:r>
      <w:r w:rsidRPr="000225F7">
        <w:rPr>
          <w:szCs w:val="26"/>
        </w:rPr>
        <w:t xml:space="preserve"> kan støtte formandskabets kompromisforslag om, at det skal det være op til de regionale fora at tage stilling til, om bestemmelser om forbud mod fiskeri efter beskyttede arter, havpattedyr og søfugle, fiskeri i følsomme områder, mindstemål samt lukkede områder og lukke</w:t>
      </w:r>
      <w:r w:rsidRPr="000225F7">
        <w:rPr>
          <w:szCs w:val="26"/>
        </w:rPr>
        <w:softHyphen/>
        <w:t>perioder også skal gælde for det rekreative fiskeri, når dette fiskeri har en betydelig påvirkning i et givent område.</w:t>
      </w:r>
    </w:p>
    <w:p w:rsidR="00112D14" w:rsidRDefault="00112D14" w:rsidP="00112D14">
      <w:pPr>
        <w:rPr>
          <w:szCs w:val="26"/>
        </w:rPr>
      </w:pPr>
    </w:p>
    <w:p w:rsidR="00112D14" w:rsidRPr="002F0D15" w:rsidRDefault="00112D14" w:rsidP="00112D14">
      <w:pPr>
        <w:rPr>
          <w:szCs w:val="26"/>
        </w:rPr>
      </w:pPr>
      <w:bookmarkStart w:id="1" w:name="_GoBack"/>
      <w:bookmarkEnd w:id="1"/>
    </w:p>
    <w:p w:rsidR="00112D14" w:rsidRDefault="00112D14" w:rsidP="00112D14"/>
    <w:p w:rsidR="00112D14" w:rsidRPr="008457BE" w:rsidRDefault="00112D14" w:rsidP="00112D14">
      <w:pPr>
        <w:jc w:val="center"/>
        <w:rPr>
          <w:i/>
        </w:rPr>
      </w:pPr>
      <w:r w:rsidRPr="008457BE">
        <w:rPr>
          <w:i/>
        </w:rPr>
        <w:lastRenderedPageBreak/>
        <w:t>Fiskeripolitisk kontor</w:t>
      </w:r>
    </w:p>
    <w:p w:rsidR="00112D14" w:rsidRPr="00112D14" w:rsidRDefault="00112D14" w:rsidP="00112D14">
      <w:pPr>
        <w:rPr>
          <w:rFonts w:asciiTheme="majorHAnsi" w:hAnsiTheme="majorHAnsi"/>
          <w:b/>
          <w:color w:val="0070C0"/>
          <w:sz w:val="28"/>
          <w:szCs w:val="28"/>
        </w:rPr>
      </w:pPr>
      <w:r>
        <w:rPr>
          <w:rFonts w:asciiTheme="majorHAnsi" w:hAnsiTheme="majorHAnsi"/>
          <w:b/>
          <w:color w:val="0070C0"/>
          <w:sz w:val="28"/>
          <w:szCs w:val="28"/>
        </w:rPr>
        <w:br/>
      </w:r>
    </w:p>
    <w:p w:rsidR="00112D14" w:rsidRDefault="00112D14" w:rsidP="00112D14">
      <w:pPr>
        <w:rPr>
          <w:rFonts w:ascii="Verdana" w:hAnsi="Verdana"/>
          <w:sz w:val="20"/>
          <w:szCs w:val="20"/>
        </w:rPr>
      </w:pPr>
    </w:p>
    <w:p w:rsidR="00112D14" w:rsidRDefault="00112D14" w:rsidP="00112D14"/>
    <w:p w:rsidR="00C32247" w:rsidRDefault="00C32247"/>
    <w:sectPr w:rsidR="00C32247" w:rsidSect="00112D14">
      <w:pgSz w:w="11906" w:h="16838"/>
      <w:pgMar w:top="142"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E2613"/>
    <w:multiLevelType w:val="hybridMultilevel"/>
    <w:tmpl w:val="C3BEE528"/>
    <w:lvl w:ilvl="0" w:tplc="05F6ED42">
      <w:numFmt w:val="bullet"/>
      <w:lvlText w:val="-"/>
      <w:lvlJc w:val="left"/>
      <w:pPr>
        <w:ind w:left="360" w:hanging="360"/>
      </w:pPr>
      <w:rPr>
        <w:rFonts w:ascii="Georgia" w:eastAsia="Times New Roman" w:hAnsi="Georgia" w:cs="Times New Roman"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6D8C690E"/>
    <w:multiLevelType w:val="hybridMultilevel"/>
    <w:tmpl w:val="11FE9B3C"/>
    <w:lvl w:ilvl="0" w:tplc="05F6ED42">
      <w:numFmt w:val="bullet"/>
      <w:lvlText w:val="-"/>
      <w:lvlJc w:val="left"/>
      <w:pPr>
        <w:ind w:left="360" w:hanging="360"/>
      </w:pPr>
      <w:rPr>
        <w:rFonts w:ascii="Georgia" w:eastAsia="Times New Roman" w:hAnsi="Georgia" w:cs="Times New Roman"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6B8423C"/>
    <w:multiLevelType w:val="hybridMultilevel"/>
    <w:tmpl w:val="50A89F4E"/>
    <w:lvl w:ilvl="0" w:tplc="05F6ED42">
      <w:numFmt w:val="bullet"/>
      <w:lvlText w:val="-"/>
      <w:lvlJc w:val="left"/>
      <w:pPr>
        <w:ind w:left="360" w:hanging="360"/>
      </w:pPr>
      <w:rPr>
        <w:rFonts w:ascii="Georgia" w:eastAsia="Times New Roman" w:hAnsi="Georgia" w:cs="Times New Roman"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12D14"/>
    <w:rsid w:val="00006B95"/>
    <w:rsid w:val="00033AD0"/>
    <w:rsid w:val="00112D14"/>
    <w:rsid w:val="006F27A0"/>
    <w:rsid w:val="00C3224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14"/>
    <w:pPr>
      <w:spacing w:after="0" w:line="240" w:lineRule="auto"/>
    </w:pPr>
    <w:rPr>
      <w:rFonts w:ascii="Calibri" w:hAnsi="Calibri" w:cs="Calibri"/>
    </w:rPr>
  </w:style>
  <w:style w:type="paragraph" w:styleId="Overskrift1">
    <w:name w:val="heading 1"/>
    <w:basedOn w:val="Normal"/>
    <w:next w:val="Normal"/>
    <w:link w:val="Overskrift1Tegn"/>
    <w:uiPriority w:val="9"/>
    <w:qFormat/>
    <w:rsid w:val="00112D14"/>
    <w:pPr>
      <w:keepNext/>
      <w:jc w:val="center"/>
      <w:outlineLvl w:val="0"/>
    </w:pPr>
    <w:rPr>
      <w:rFonts w:ascii="Garamond" w:eastAsia="Times New Roman" w:hAnsi="Garamond" w:cs="Times New Roman"/>
      <w:b/>
      <w:sz w:val="26"/>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12D14"/>
    <w:rPr>
      <w:color w:val="0563C1"/>
      <w:u w:val="single"/>
    </w:rPr>
  </w:style>
  <w:style w:type="character" w:customStyle="1" w:styleId="Overskrift1Tegn">
    <w:name w:val="Overskrift 1 Tegn"/>
    <w:basedOn w:val="Standardskrifttypeiafsnit"/>
    <w:link w:val="Overskrift1"/>
    <w:uiPriority w:val="9"/>
    <w:rsid w:val="00112D14"/>
    <w:rPr>
      <w:rFonts w:ascii="Garamond" w:eastAsia="Times New Roman" w:hAnsi="Garamond" w:cs="Times New Roman"/>
      <w:b/>
      <w:sz w:val="26"/>
      <w:szCs w:val="20"/>
    </w:rPr>
  </w:style>
  <w:style w:type="paragraph" w:styleId="Sidehoved">
    <w:name w:val="header"/>
    <w:basedOn w:val="Normal"/>
    <w:link w:val="SidehovedTegn"/>
    <w:uiPriority w:val="99"/>
    <w:rsid w:val="00112D14"/>
    <w:pPr>
      <w:tabs>
        <w:tab w:val="center" w:pos="4819"/>
        <w:tab w:val="right" w:pos="9638"/>
      </w:tabs>
    </w:pPr>
    <w:rPr>
      <w:rFonts w:ascii="Garamond" w:eastAsia="Times New Roman" w:hAnsi="Garamond" w:cs="Times New Roman"/>
      <w:sz w:val="26"/>
      <w:szCs w:val="20"/>
    </w:rPr>
  </w:style>
  <w:style w:type="character" w:customStyle="1" w:styleId="SidehovedTegn">
    <w:name w:val="Sidehoved Tegn"/>
    <w:basedOn w:val="Standardskrifttypeiafsnit"/>
    <w:link w:val="Sidehoved"/>
    <w:uiPriority w:val="99"/>
    <w:rsid w:val="00112D14"/>
    <w:rPr>
      <w:rFonts w:ascii="Garamond" w:eastAsia="Times New Roman" w:hAnsi="Garamond" w:cs="Times New Roman"/>
      <w:sz w:val="26"/>
      <w:szCs w:val="20"/>
    </w:rPr>
  </w:style>
  <w:style w:type="character" w:customStyle="1" w:styleId="ListeafsnitTegn">
    <w:name w:val="Listeafsnit Tegn"/>
    <w:link w:val="Listeafsnit"/>
    <w:uiPriority w:val="34"/>
    <w:locked/>
    <w:rsid w:val="00112D14"/>
    <w:rPr>
      <w:rFonts w:ascii="Calibri" w:eastAsia="Calibri" w:hAnsi="Calibri"/>
    </w:rPr>
  </w:style>
  <w:style w:type="paragraph" w:styleId="Listeafsnit">
    <w:name w:val="List Paragraph"/>
    <w:basedOn w:val="Normal"/>
    <w:link w:val="ListeafsnitTegn"/>
    <w:uiPriority w:val="34"/>
    <w:qFormat/>
    <w:rsid w:val="00112D14"/>
    <w:pPr>
      <w:spacing w:after="200" w:line="276" w:lineRule="auto"/>
      <w:ind w:left="720"/>
      <w:contextualSpacing/>
    </w:pPr>
    <w:rPr>
      <w:rFonts w:eastAsia="Calibri" w:cstheme="minorBidi"/>
    </w:rPr>
  </w:style>
</w:styles>
</file>

<file path=word/webSettings.xml><?xml version="1.0" encoding="utf-8"?>
<w:webSettings xmlns:r="http://schemas.openxmlformats.org/officeDocument/2006/relationships" xmlns:w="http://schemas.openxmlformats.org/wordprocessingml/2006/main">
  <w:divs>
    <w:div w:id="670565568">
      <w:bodyDiv w:val="1"/>
      <w:marLeft w:val="0"/>
      <w:marRight w:val="0"/>
      <w:marTop w:val="0"/>
      <w:marBottom w:val="0"/>
      <w:divBdr>
        <w:top w:val="none" w:sz="0" w:space="0" w:color="auto"/>
        <w:left w:val="none" w:sz="0" w:space="0" w:color="auto"/>
        <w:bottom w:val="none" w:sz="0" w:space="0" w:color="auto"/>
        <w:right w:val="none" w:sz="0" w:space="0" w:color="auto"/>
      </w:divBdr>
    </w:div>
    <w:div w:id="11747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kst@um.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4474</Words>
  <Characters>27293</Characters>
  <Application>Microsoft Office Word</Application>
  <DocSecurity>0</DocSecurity>
  <Lines>227</Lines>
  <Paragraphs>63</Paragraphs>
  <ScaleCrop>false</ScaleCrop>
  <Company/>
  <LinksUpToDate>false</LinksUpToDate>
  <CharactersWithSpaces>31704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Windows-bruger</cp:lastModifiedBy>
  <cp:revision>3</cp:revision>
  <dcterms:created xsi:type="dcterms:W3CDTF">2018-02-13T16:19:00Z</dcterms:created>
  <dcterms:modified xsi:type="dcterms:W3CDTF">2018-02-13T16:25:00Z</dcterms:modified>
</cp:coreProperties>
</file>