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B9" w:rsidRDefault="00911052"/>
    <w:p w:rsidR="00D86742" w:rsidRDefault="00D86742" w:rsidP="00D86742">
      <w:pPr>
        <w:rPr>
          <w:rFonts w:ascii="Georgia" w:hAnsi="Georgia"/>
        </w:rPr>
      </w:pPr>
    </w:p>
    <w:p w:rsidR="00D86742" w:rsidRDefault="00D86742" w:rsidP="00D86742">
      <w:pPr>
        <w:rPr>
          <w:rFonts w:ascii="Georgia" w:hAnsi="Georgia"/>
          <w:b/>
          <w:sz w:val="28"/>
          <w:szCs w:val="28"/>
        </w:rPr>
      </w:pPr>
    </w:p>
    <w:p w:rsidR="00D86742" w:rsidRDefault="00D86742" w:rsidP="00D86742">
      <w:pPr>
        <w:rPr>
          <w:rFonts w:ascii="Georgia" w:hAnsi="Georgia"/>
          <w:b/>
          <w:sz w:val="28"/>
          <w:szCs w:val="28"/>
        </w:rPr>
      </w:pPr>
    </w:p>
    <w:p w:rsidR="00D86742" w:rsidRPr="0087687A" w:rsidRDefault="00D86742" w:rsidP="00D86742">
      <w:pPr>
        <w:rPr>
          <w:rFonts w:asciiTheme="majorHAnsi" w:hAnsiTheme="majorHAnsi"/>
          <w:b/>
          <w:sz w:val="44"/>
          <w:szCs w:val="44"/>
        </w:rPr>
      </w:pPr>
      <w:r w:rsidRPr="0087687A">
        <w:rPr>
          <w:rFonts w:asciiTheme="majorHAnsi" w:hAnsiTheme="majorHAnsi"/>
          <w:b/>
          <w:sz w:val="44"/>
          <w:szCs w:val="44"/>
        </w:rPr>
        <w:t xml:space="preserve"> § 7-udvalget behandler forslag fra kommissionen vedr. begrænsning for det rekreative fiskeri i den vestlige del af Østersøen.</w:t>
      </w:r>
    </w:p>
    <w:p w:rsidR="00D86742" w:rsidRPr="0087687A" w:rsidRDefault="0087687A" w:rsidP="00D86742">
      <w:pPr>
        <w:rPr>
          <w:rFonts w:asciiTheme="majorHAnsi" w:hAnsiTheme="majorHAnsi"/>
          <w:b/>
          <w:sz w:val="44"/>
          <w:szCs w:val="44"/>
        </w:rPr>
      </w:pPr>
      <w:r w:rsidRPr="0087687A">
        <w:rPr>
          <w:rFonts w:asciiTheme="majorHAnsi" w:hAnsiTheme="majorHAnsi"/>
          <w:b/>
          <w:sz w:val="44"/>
          <w:szCs w:val="44"/>
        </w:rPr>
        <w:t>Forslaget sendes ud i ”Høring” og vi bliver hørt!</w:t>
      </w:r>
    </w:p>
    <w:p w:rsidR="0087687A" w:rsidRPr="0087687A" w:rsidRDefault="00D86742" w:rsidP="0087687A">
      <w:pPr>
        <w:pStyle w:val="Almindeligtekst"/>
        <w:rPr>
          <w:rFonts w:asciiTheme="majorHAnsi" w:hAnsiTheme="majorHAnsi"/>
          <w:b/>
          <w:sz w:val="44"/>
          <w:szCs w:val="44"/>
        </w:rPr>
      </w:pPr>
      <w:r w:rsidRPr="0087687A">
        <w:rPr>
          <w:rFonts w:asciiTheme="majorHAnsi" w:hAnsiTheme="majorHAnsi"/>
          <w:b/>
          <w:sz w:val="44"/>
          <w:szCs w:val="44"/>
        </w:rPr>
        <w:t> </w:t>
      </w:r>
      <w:r w:rsidR="0087687A" w:rsidRPr="0087687A">
        <w:rPr>
          <w:rFonts w:asciiTheme="majorHAnsi" w:hAnsiTheme="majorHAnsi"/>
          <w:b/>
          <w:sz w:val="44"/>
          <w:szCs w:val="44"/>
        </w:rPr>
        <w:t>Sagen skal vedtages på ministerrådsmøde (l</w:t>
      </w:r>
      <w:r w:rsidR="0087687A">
        <w:rPr>
          <w:rFonts w:asciiTheme="majorHAnsi" w:hAnsiTheme="majorHAnsi"/>
          <w:b/>
          <w:sz w:val="44"/>
          <w:szCs w:val="44"/>
        </w:rPr>
        <w:t>andbrug og fiskeri) den 19.-29.</w:t>
      </w:r>
      <w:r w:rsidR="0087687A" w:rsidRPr="0087687A">
        <w:rPr>
          <w:rFonts w:asciiTheme="majorHAnsi" w:hAnsiTheme="majorHAnsi"/>
          <w:b/>
          <w:sz w:val="44"/>
          <w:szCs w:val="44"/>
        </w:rPr>
        <w:t>oktober</w:t>
      </w:r>
      <w:r w:rsidR="0087687A">
        <w:rPr>
          <w:rFonts w:asciiTheme="majorHAnsi" w:hAnsiTheme="majorHAnsi"/>
          <w:b/>
          <w:sz w:val="44"/>
          <w:szCs w:val="44"/>
        </w:rPr>
        <w:t xml:space="preserve"> 2020</w:t>
      </w:r>
      <w:r w:rsidR="0087687A" w:rsidRPr="0087687A">
        <w:rPr>
          <w:rFonts w:asciiTheme="majorHAnsi" w:hAnsiTheme="majorHAnsi"/>
          <w:b/>
          <w:sz w:val="44"/>
          <w:szCs w:val="44"/>
        </w:rPr>
        <w:t xml:space="preserve">. </w:t>
      </w:r>
    </w:p>
    <w:p w:rsidR="00D86742" w:rsidRPr="0087687A" w:rsidRDefault="00D86742" w:rsidP="00D86742">
      <w:pPr>
        <w:rPr>
          <w:rFonts w:asciiTheme="majorHAnsi" w:hAnsiTheme="majorHAnsi"/>
          <w:b/>
          <w:bCs/>
          <w:sz w:val="44"/>
          <w:szCs w:val="44"/>
          <w:lang w:eastAsia="da-DK"/>
        </w:rPr>
      </w:pPr>
      <w:r w:rsidRPr="0087687A">
        <w:rPr>
          <w:rFonts w:asciiTheme="majorHAnsi" w:hAnsiTheme="majorHAnsi"/>
          <w:b/>
          <w:bCs/>
          <w:sz w:val="44"/>
          <w:szCs w:val="44"/>
        </w:rPr>
        <w:t>Vedr.: Forslag til Rådets forordning om fastsættelse for 2021 af fiskerimuligheder for visse fiskebestande og grupper af fiskebestande i Østersøen – KOM (2020) 436</w:t>
      </w:r>
    </w:p>
    <w:p w:rsidR="00D86742" w:rsidRPr="0087687A" w:rsidRDefault="00D86742" w:rsidP="00D86742">
      <w:pPr>
        <w:pStyle w:val="Almindeligtekst"/>
        <w:rPr>
          <w:rFonts w:asciiTheme="majorHAnsi" w:hAnsiTheme="majorHAnsi"/>
          <w:b/>
          <w:sz w:val="44"/>
          <w:szCs w:val="44"/>
        </w:rPr>
      </w:pPr>
      <w:r w:rsidRPr="0087687A">
        <w:rPr>
          <w:rFonts w:asciiTheme="majorHAnsi" w:hAnsiTheme="majorHAnsi"/>
          <w:b/>
          <w:sz w:val="44"/>
          <w:szCs w:val="44"/>
        </w:rPr>
        <w:t xml:space="preserve">Kommissionen har fremlagt forslag til begrænsninger for det rekreative fiskeri efter torsk i Østersøen i 2021.                                         </w:t>
      </w:r>
      <w:r w:rsidR="0087687A" w:rsidRPr="0087687A">
        <w:rPr>
          <w:rFonts w:asciiTheme="majorHAnsi" w:hAnsiTheme="majorHAnsi"/>
          <w:b/>
          <w:sz w:val="44"/>
          <w:szCs w:val="44"/>
        </w:rPr>
        <w:t xml:space="preserve">                         </w:t>
      </w:r>
      <w:r w:rsidRPr="0087687A">
        <w:rPr>
          <w:rFonts w:asciiTheme="majorHAnsi" w:hAnsiTheme="majorHAnsi"/>
          <w:b/>
          <w:sz w:val="44"/>
          <w:szCs w:val="44"/>
        </w:rPr>
        <w:t xml:space="preserve">For det rekreative fiskeri er det foreslået at videreføre begrænsningerne i 2020 uændrede i 2021. </w:t>
      </w:r>
      <w:r w:rsidR="0087687A">
        <w:rPr>
          <w:rFonts w:asciiTheme="majorHAnsi" w:hAnsiTheme="majorHAnsi"/>
          <w:b/>
          <w:sz w:val="44"/>
          <w:szCs w:val="44"/>
        </w:rPr>
        <w:br/>
      </w:r>
      <w:r w:rsidR="0087687A" w:rsidRPr="0087687A">
        <w:rPr>
          <w:rFonts w:asciiTheme="majorHAnsi" w:hAnsiTheme="majorHAnsi"/>
          <w:b/>
          <w:sz w:val="40"/>
          <w:szCs w:val="40"/>
        </w:rPr>
        <w:t xml:space="preserve">Læs hele forslaget på </w:t>
      </w:r>
      <w:hyperlink r:id="rId6" w:history="1">
        <w:r w:rsidR="0087687A" w:rsidRPr="00992913">
          <w:rPr>
            <w:rStyle w:val="Hyperlink"/>
            <w:rFonts w:asciiTheme="majorHAnsi" w:hAnsiTheme="majorHAnsi"/>
            <w:b/>
            <w:sz w:val="40"/>
            <w:szCs w:val="40"/>
          </w:rPr>
          <w:t>www.fritidsfiskerforbundet</w:t>
        </w:r>
      </w:hyperlink>
      <w:r w:rsidR="0087687A">
        <w:rPr>
          <w:rFonts w:asciiTheme="majorHAnsi" w:hAnsiTheme="majorHAnsi"/>
          <w:b/>
          <w:sz w:val="40"/>
          <w:szCs w:val="40"/>
        </w:rPr>
        <w:t xml:space="preserve"> </w:t>
      </w:r>
    </w:p>
    <w:p w:rsidR="00D86742" w:rsidRPr="00D86742" w:rsidRDefault="00D86742" w:rsidP="00D86742">
      <w:pPr>
        <w:pStyle w:val="Almindeligtekst"/>
        <w:rPr>
          <w:rFonts w:asciiTheme="majorHAnsi" w:hAnsiTheme="majorHAnsi"/>
          <w:sz w:val="32"/>
          <w:szCs w:val="32"/>
        </w:rPr>
      </w:pPr>
    </w:p>
    <w:p w:rsidR="00D86742" w:rsidRPr="0087687A" w:rsidRDefault="00D86742" w:rsidP="00D86742">
      <w:pPr>
        <w:pStyle w:val="Almindeligtekst"/>
        <w:rPr>
          <w:rFonts w:asciiTheme="majorHAnsi" w:hAnsiTheme="majorHAnsi"/>
          <w:sz w:val="36"/>
          <w:szCs w:val="36"/>
        </w:rPr>
      </w:pPr>
      <w:r w:rsidRPr="0087687A">
        <w:rPr>
          <w:rFonts w:asciiTheme="majorHAnsi" w:hAnsiTheme="majorHAnsi"/>
          <w:sz w:val="36"/>
          <w:szCs w:val="36"/>
        </w:rPr>
        <w:t xml:space="preserve">Det indebærer, at Kommissionens forslag for torsk i den vestlige del af Østersøen indeholder en begrænsning for det rekreative fiskeri i form af en ”bag limit” på fem styk torsk, som hver lyst- og fritidsfisker må bringe i land pr. dag i 2021, dog kun to styk i lukkeperioden 1. februar til 31. marts (Lukkeperioden er i Kommissionens forslag angivet til 1. januar til 31. marts, men Kommissionen har oplyst, at det er en fejl, at januar er inkluderet, og at dette vil blive korrigeret) for både ICES underområde 22, 23 og 24. Endvidere begrænses det rekreative fiskeri i ICES underområde 24 – ligesom i 2020 - til kun at måtte foregå ud til </w:t>
      </w:r>
      <w:proofErr w:type="spellStart"/>
      <w:r w:rsidRPr="0087687A">
        <w:rPr>
          <w:rFonts w:asciiTheme="majorHAnsi" w:hAnsiTheme="majorHAnsi"/>
          <w:sz w:val="36"/>
          <w:szCs w:val="36"/>
        </w:rPr>
        <w:t>seks-sømilegrænsen</w:t>
      </w:r>
      <w:proofErr w:type="spellEnd"/>
      <w:r w:rsidRPr="0087687A">
        <w:rPr>
          <w:rFonts w:asciiTheme="majorHAnsi" w:hAnsiTheme="majorHAnsi"/>
          <w:sz w:val="36"/>
          <w:szCs w:val="36"/>
        </w:rPr>
        <w:t>. Endelig kommer et forbud mod rekreativt fiskeri efter torsk i ICES underområde 25-26 i den østlige Østersø svarende til forbuddet i 2020.</w:t>
      </w:r>
    </w:p>
    <w:p w:rsidR="00D86742" w:rsidRPr="0087687A" w:rsidRDefault="00D86742" w:rsidP="00D86742">
      <w:pPr>
        <w:pStyle w:val="Almindeligtekst"/>
        <w:rPr>
          <w:rFonts w:asciiTheme="majorHAnsi" w:hAnsiTheme="majorHAnsi"/>
          <w:sz w:val="36"/>
          <w:szCs w:val="36"/>
        </w:rPr>
      </w:pPr>
    </w:p>
    <w:p w:rsidR="00D86742" w:rsidRPr="0087687A" w:rsidRDefault="00D86742" w:rsidP="00D86742">
      <w:pPr>
        <w:pStyle w:val="Almindeligtekst"/>
        <w:rPr>
          <w:rFonts w:asciiTheme="majorHAnsi" w:hAnsiTheme="majorHAnsi"/>
          <w:sz w:val="36"/>
          <w:szCs w:val="36"/>
        </w:rPr>
      </w:pPr>
      <w:r w:rsidRPr="0087687A">
        <w:rPr>
          <w:rFonts w:asciiTheme="majorHAnsi" w:hAnsiTheme="majorHAnsi"/>
          <w:sz w:val="36"/>
          <w:szCs w:val="36"/>
        </w:rPr>
        <w:t xml:space="preserve">Begrænsningerne er begrundet i bestandssituationen. </w:t>
      </w:r>
    </w:p>
    <w:p w:rsidR="00D86742" w:rsidRPr="0087687A" w:rsidRDefault="00D86742" w:rsidP="00D86742">
      <w:pPr>
        <w:pStyle w:val="Almindeligtekst"/>
        <w:rPr>
          <w:rFonts w:asciiTheme="majorHAnsi" w:hAnsiTheme="majorHAnsi"/>
          <w:sz w:val="36"/>
          <w:szCs w:val="36"/>
        </w:rPr>
      </w:pPr>
    </w:p>
    <w:p w:rsidR="00D86742" w:rsidRPr="0087687A" w:rsidRDefault="00D86742" w:rsidP="00D86742">
      <w:pPr>
        <w:pStyle w:val="Almindeligtekst"/>
        <w:rPr>
          <w:rFonts w:asciiTheme="majorHAnsi" w:hAnsiTheme="majorHAnsi"/>
          <w:sz w:val="36"/>
          <w:szCs w:val="36"/>
        </w:rPr>
      </w:pPr>
      <w:r w:rsidRPr="0087687A">
        <w:rPr>
          <w:rFonts w:asciiTheme="majorHAnsi" w:hAnsiTheme="majorHAnsi"/>
          <w:sz w:val="36"/>
          <w:szCs w:val="36"/>
        </w:rPr>
        <w:t>I vedhæftede høringsnotat, som hermed fremsendes i skriftlig høring er de anførte regler beskrevet:</w:t>
      </w:r>
    </w:p>
    <w:p w:rsidR="00D86742" w:rsidRPr="0087687A" w:rsidRDefault="00D86742" w:rsidP="00D86742">
      <w:pPr>
        <w:pStyle w:val="Almindeligtekst"/>
        <w:ind w:left="360" w:hanging="360"/>
        <w:rPr>
          <w:rFonts w:asciiTheme="majorHAnsi" w:hAnsiTheme="majorHAnsi"/>
          <w:sz w:val="36"/>
          <w:szCs w:val="36"/>
        </w:rPr>
      </w:pPr>
      <w:r w:rsidRPr="0087687A">
        <w:rPr>
          <w:rFonts w:asciiTheme="majorHAnsi" w:hAnsiTheme="majorHAnsi"/>
          <w:sz w:val="36"/>
          <w:szCs w:val="36"/>
        </w:rPr>
        <w:t>·       Forslag til Rådets forordning om fastsættelse for 2021 af fiskerimuligheder for visse fiskebestande og grupper af fiskebestande i Østersøen</w:t>
      </w:r>
    </w:p>
    <w:p w:rsidR="00D86742" w:rsidRPr="0087687A" w:rsidRDefault="00D86742" w:rsidP="00D86742">
      <w:pPr>
        <w:pStyle w:val="Almindeligtekst"/>
        <w:rPr>
          <w:rFonts w:asciiTheme="majorHAnsi" w:hAnsiTheme="majorHAnsi"/>
          <w:sz w:val="36"/>
          <w:szCs w:val="36"/>
        </w:rPr>
      </w:pPr>
    </w:p>
    <w:p w:rsidR="00D86742" w:rsidRPr="0087687A" w:rsidRDefault="00D86742" w:rsidP="00D86742">
      <w:pPr>
        <w:pStyle w:val="Almindeligtekst"/>
        <w:rPr>
          <w:rFonts w:asciiTheme="majorHAnsi" w:hAnsiTheme="majorHAnsi"/>
          <w:sz w:val="36"/>
          <w:szCs w:val="36"/>
        </w:rPr>
      </w:pPr>
      <w:r w:rsidRPr="0087687A">
        <w:rPr>
          <w:rFonts w:asciiTheme="majorHAnsi" w:hAnsiTheme="majorHAnsi"/>
          <w:sz w:val="36"/>
          <w:szCs w:val="36"/>
        </w:rPr>
        <w:t xml:space="preserve"> Det rekreative fiskeri er primært nævnt nederst side 2-3. Endvidere er der et generelt konsekvensafsnit på s. 6. </w:t>
      </w:r>
    </w:p>
    <w:p w:rsidR="00D86742" w:rsidRPr="0087687A" w:rsidRDefault="00D86742" w:rsidP="00D86742">
      <w:pPr>
        <w:pStyle w:val="Almindeligtekst"/>
        <w:rPr>
          <w:rFonts w:asciiTheme="majorHAnsi" w:hAnsiTheme="majorHAnsi"/>
          <w:sz w:val="36"/>
          <w:szCs w:val="36"/>
        </w:rPr>
      </w:pPr>
    </w:p>
    <w:p w:rsidR="00D86742" w:rsidRPr="0087687A" w:rsidRDefault="00D86742" w:rsidP="00D86742">
      <w:pPr>
        <w:pStyle w:val="Almindeligtekst"/>
        <w:rPr>
          <w:rFonts w:asciiTheme="majorHAnsi" w:hAnsiTheme="majorHAnsi"/>
          <w:sz w:val="36"/>
          <w:szCs w:val="36"/>
        </w:rPr>
      </w:pPr>
      <w:r w:rsidRPr="0087687A">
        <w:rPr>
          <w:rFonts w:asciiTheme="majorHAnsi" w:hAnsiTheme="majorHAnsi"/>
          <w:sz w:val="36"/>
          <w:szCs w:val="36"/>
        </w:rPr>
        <w:t xml:space="preserve">Sagen skal vedtages på ministerrådsmøde (landbrug og fiskeri) den 19.-29. oktober. </w:t>
      </w:r>
    </w:p>
    <w:p w:rsidR="00D86742" w:rsidRDefault="00D86742" w:rsidP="00D86742">
      <w:pPr>
        <w:rPr>
          <w:rFonts w:ascii="Georgia" w:hAnsi="Georgia"/>
          <w:sz w:val="36"/>
          <w:szCs w:val="36"/>
        </w:rPr>
      </w:pPr>
      <w:r w:rsidRPr="0087687A">
        <w:rPr>
          <w:rFonts w:ascii="Georgia" w:hAnsi="Georgia"/>
          <w:sz w:val="36"/>
          <w:szCs w:val="36"/>
        </w:rPr>
        <w:t> </w:t>
      </w:r>
    </w:p>
    <w:p w:rsidR="00867898" w:rsidRDefault="00867898" w:rsidP="00D86742">
      <w:pPr>
        <w:rPr>
          <w:rFonts w:asciiTheme="majorHAnsi" w:hAnsiTheme="majorHAnsi"/>
          <w:b/>
          <w:sz w:val="36"/>
          <w:szCs w:val="3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16"/>
      </w:tblGrid>
      <w:tr w:rsidR="00867898" w:rsidRPr="00952E08" w:rsidTr="000F140A">
        <w:trPr>
          <w:cantSplit/>
          <w:trHeight w:val="3158"/>
        </w:trPr>
        <w:tc>
          <w:tcPr>
            <w:tcW w:w="7116" w:type="dxa"/>
          </w:tcPr>
          <w:p w:rsidR="00867898" w:rsidRDefault="00867898" w:rsidP="00867898">
            <w:pPr>
              <w:rPr>
                <w:rFonts w:asciiTheme="majorHAnsi" w:hAnsiTheme="majorHAnsi"/>
                <w:b/>
                <w:sz w:val="36"/>
                <w:szCs w:val="36"/>
              </w:rPr>
            </w:pPr>
            <w:r w:rsidRPr="0050494D">
              <w:rPr>
                <w:rFonts w:asciiTheme="majorHAnsi" w:hAnsiTheme="majorHAnsi"/>
                <w:b/>
                <w:sz w:val="36"/>
                <w:szCs w:val="36"/>
              </w:rPr>
              <w:t>NOTAT:</w:t>
            </w:r>
          </w:p>
          <w:p w:rsidR="00867898" w:rsidRPr="00952E08" w:rsidRDefault="00867898" w:rsidP="000F140A">
            <w:pPr>
              <w:pStyle w:val="DocumentHeading"/>
            </w:pPr>
          </w:p>
        </w:tc>
      </w:tr>
    </w:tbl>
    <w:p w:rsidR="00867898" w:rsidRPr="00952E08" w:rsidRDefault="00867898" w:rsidP="00867898">
      <w:pPr>
        <w:pStyle w:val="Overskrift1"/>
        <w:spacing w:before="0"/>
      </w:pPr>
      <w:r>
        <w:t xml:space="preserve">NOTAT TIL § 5-UDVALGET (FISKERI) OG </w:t>
      </w:r>
      <w:r>
        <w:rPr>
          <w:szCs w:val="26"/>
        </w:rPr>
        <w:t>§ 7-UDVALGET (REKREATIVT F</w:t>
      </w:r>
      <w:r>
        <w:rPr>
          <w:szCs w:val="26"/>
        </w:rPr>
        <w:t>I</w:t>
      </w:r>
      <w:r>
        <w:rPr>
          <w:szCs w:val="26"/>
        </w:rPr>
        <w:t xml:space="preserve">SKERI, FERSKVANDSFISKERI og FISKEPLEJE) </w:t>
      </w:r>
    </w:p>
    <w:p w:rsidR="00867898" w:rsidRDefault="00867898" w:rsidP="00867898">
      <w:pPr>
        <w:pStyle w:val="Overskrift1"/>
        <w:rPr>
          <w:szCs w:val="26"/>
        </w:rPr>
      </w:pPr>
    </w:p>
    <w:p w:rsidR="00867898" w:rsidRPr="00952E08" w:rsidRDefault="00867898" w:rsidP="00867898">
      <w:pPr>
        <w:pStyle w:val="Overskrift1"/>
      </w:pPr>
      <w:r>
        <w:rPr>
          <w:szCs w:val="26"/>
        </w:rPr>
        <w:t>om f</w:t>
      </w:r>
      <w:r w:rsidRPr="00123121">
        <w:rPr>
          <w:szCs w:val="26"/>
        </w:rPr>
        <w:t>orslag til Rådets forordning om fastsættelse for 20</w:t>
      </w:r>
      <w:r>
        <w:rPr>
          <w:szCs w:val="26"/>
        </w:rPr>
        <w:t>21</w:t>
      </w:r>
      <w:r w:rsidRPr="00123121">
        <w:rPr>
          <w:szCs w:val="26"/>
        </w:rPr>
        <w:t xml:space="preserve"> af fiskerimuligheder for visse fiskebestande og grupper af fiskebestande i Østersøen</w:t>
      </w:r>
      <w:r w:rsidRPr="00952E08">
        <w:t xml:space="preserve"> </w:t>
      </w:r>
    </w:p>
    <w:p w:rsidR="00867898" w:rsidRPr="00952E08" w:rsidRDefault="00867898" w:rsidP="00867898"/>
    <w:p w:rsidR="00867898" w:rsidRDefault="00867898" w:rsidP="00867898">
      <w:pPr>
        <w:pStyle w:val="Overskrift1"/>
        <w:spacing w:before="0" w:line="288" w:lineRule="auto"/>
        <w:rPr>
          <w:i/>
        </w:rPr>
      </w:pPr>
      <w:r>
        <w:t>KOM (2020) 436</w:t>
      </w:r>
    </w:p>
    <w:p w:rsidR="00867898" w:rsidRPr="0068502E" w:rsidRDefault="00867898" w:rsidP="00867898">
      <w:pPr>
        <w:pStyle w:val="Overskrift1"/>
        <w:spacing w:before="0"/>
        <w:rPr>
          <w:i/>
          <w:sz w:val="20"/>
          <w:szCs w:val="20"/>
        </w:rPr>
      </w:pPr>
      <w:r w:rsidRPr="0068502E">
        <w:rPr>
          <w:i/>
          <w:sz w:val="20"/>
          <w:szCs w:val="20"/>
        </w:rPr>
        <w:t>Resumé</w:t>
      </w:r>
    </w:p>
    <w:p w:rsidR="00867898" w:rsidRPr="001F0835" w:rsidRDefault="00867898" w:rsidP="00867898">
      <w:pPr>
        <w:rPr>
          <w:i/>
          <w:szCs w:val="26"/>
        </w:rPr>
      </w:pPr>
      <w:r w:rsidRPr="00123121">
        <w:rPr>
          <w:i/>
          <w:szCs w:val="26"/>
        </w:rPr>
        <w:t>Kommissionens forslag om fiskerimuligheder for 20</w:t>
      </w:r>
      <w:r>
        <w:rPr>
          <w:i/>
          <w:szCs w:val="26"/>
        </w:rPr>
        <w:t>21</w:t>
      </w:r>
      <w:r w:rsidRPr="00123121">
        <w:rPr>
          <w:i/>
          <w:szCs w:val="26"/>
        </w:rPr>
        <w:t xml:space="preserve"> omfatter fastsættelse af fiskerimuligheder for de kommercielt vigtigste bestande i Østersøen i form af TAC</w:t>
      </w:r>
      <w:r w:rsidRPr="00123121">
        <w:rPr>
          <w:rStyle w:val="Fodnotehenvisning"/>
          <w:i/>
          <w:szCs w:val="26"/>
        </w:rPr>
        <w:footnoteReference w:id="1"/>
      </w:r>
      <w:r w:rsidRPr="00123121">
        <w:rPr>
          <w:i/>
          <w:szCs w:val="26"/>
        </w:rPr>
        <w:t>/kvoter</w:t>
      </w:r>
      <w:r>
        <w:rPr>
          <w:rStyle w:val="Fodnotehenvisning"/>
          <w:i/>
          <w:szCs w:val="26"/>
        </w:rPr>
        <w:footnoteReference w:id="2"/>
      </w:r>
      <w:r w:rsidRPr="00123121">
        <w:rPr>
          <w:i/>
          <w:szCs w:val="26"/>
        </w:rPr>
        <w:t xml:space="preserve"> for 20</w:t>
      </w:r>
      <w:r>
        <w:rPr>
          <w:i/>
          <w:szCs w:val="26"/>
        </w:rPr>
        <w:t>21</w:t>
      </w:r>
      <w:r w:rsidRPr="00123121">
        <w:rPr>
          <w:i/>
          <w:szCs w:val="26"/>
        </w:rPr>
        <w:t xml:space="preserve">. </w:t>
      </w:r>
      <w:r w:rsidRPr="00946C9C">
        <w:rPr>
          <w:i/>
          <w:szCs w:val="26"/>
        </w:rPr>
        <w:t>Kommissionens fo</w:t>
      </w:r>
      <w:r w:rsidRPr="00946C9C">
        <w:rPr>
          <w:i/>
          <w:szCs w:val="26"/>
        </w:rPr>
        <w:t>r</w:t>
      </w:r>
      <w:r w:rsidRPr="00946C9C">
        <w:rPr>
          <w:i/>
          <w:szCs w:val="26"/>
        </w:rPr>
        <w:t xml:space="preserve">slag indeholder forslag til TAC/kvoter for i alt ti bestande i Østersøen med forslag om reduktion for </w:t>
      </w:r>
      <w:r>
        <w:rPr>
          <w:i/>
          <w:szCs w:val="26"/>
        </w:rPr>
        <w:t>fem, en uændret kvote for tre og en stigning for to bestande</w:t>
      </w:r>
      <w:r w:rsidRPr="00946C9C">
        <w:rPr>
          <w:i/>
          <w:szCs w:val="26"/>
        </w:rPr>
        <w:t>. For torsk i den vestlige Østersø foreslås en</w:t>
      </w:r>
      <w:r>
        <w:rPr>
          <w:i/>
          <w:szCs w:val="26"/>
        </w:rPr>
        <w:t xml:space="preserve"> reduktion på 11</w:t>
      </w:r>
      <w:r w:rsidRPr="00946C9C">
        <w:rPr>
          <w:i/>
          <w:szCs w:val="26"/>
        </w:rPr>
        <w:t xml:space="preserve"> % kombineret med lukning for kommercielt fiskeri fra 1. januar til 31. marts for fartøjer over 12 meter</w:t>
      </w:r>
      <w:r>
        <w:rPr>
          <w:i/>
          <w:szCs w:val="26"/>
        </w:rPr>
        <w:t xml:space="preserve"> </w:t>
      </w:r>
      <w:r w:rsidRPr="008363D6">
        <w:rPr>
          <w:i/>
          <w:szCs w:val="26"/>
        </w:rPr>
        <w:t>(Kommissionen har oplyst, at det er en fejl, at januar er inkluderet i forslaget og at dette korrigeres)</w:t>
      </w:r>
      <w:r w:rsidRPr="00946C9C">
        <w:rPr>
          <w:i/>
          <w:szCs w:val="26"/>
        </w:rPr>
        <w:t xml:space="preserve"> samt en begrænsning på </w:t>
      </w:r>
      <w:r>
        <w:rPr>
          <w:i/>
          <w:szCs w:val="26"/>
        </w:rPr>
        <w:t>fem</w:t>
      </w:r>
      <w:r w:rsidRPr="00946C9C">
        <w:rPr>
          <w:i/>
          <w:szCs w:val="26"/>
        </w:rPr>
        <w:t xml:space="preserve"> st</w:t>
      </w:r>
      <w:r>
        <w:rPr>
          <w:i/>
          <w:szCs w:val="26"/>
        </w:rPr>
        <w:t>yk</w:t>
      </w:r>
      <w:r w:rsidRPr="00946C9C">
        <w:rPr>
          <w:i/>
          <w:szCs w:val="26"/>
        </w:rPr>
        <w:t xml:space="preserve"> torsk, som </w:t>
      </w:r>
      <w:r>
        <w:rPr>
          <w:i/>
          <w:szCs w:val="26"/>
        </w:rPr>
        <w:t xml:space="preserve">lyst- og </w:t>
      </w:r>
      <w:r w:rsidRPr="00946C9C">
        <w:rPr>
          <w:i/>
          <w:szCs w:val="26"/>
        </w:rPr>
        <w:t xml:space="preserve">fritidsfiskere </w:t>
      </w:r>
      <w:r>
        <w:rPr>
          <w:i/>
          <w:szCs w:val="26"/>
        </w:rPr>
        <w:t>m</w:t>
      </w:r>
      <w:r w:rsidRPr="00946C9C">
        <w:rPr>
          <w:i/>
          <w:szCs w:val="26"/>
        </w:rPr>
        <w:t>å tage med i land pr. dag</w:t>
      </w:r>
      <w:r>
        <w:rPr>
          <w:i/>
          <w:szCs w:val="26"/>
        </w:rPr>
        <w:t>, dog kun to styk i februar og marts</w:t>
      </w:r>
      <w:r w:rsidRPr="00946C9C">
        <w:rPr>
          <w:i/>
          <w:szCs w:val="26"/>
        </w:rPr>
        <w:t xml:space="preserve">. </w:t>
      </w:r>
      <w:r>
        <w:rPr>
          <w:i/>
          <w:szCs w:val="26"/>
        </w:rPr>
        <w:t>D</w:t>
      </w:r>
      <w:r w:rsidRPr="00946C9C">
        <w:rPr>
          <w:i/>
          <w:szCs w:val="26"/>
        </w:rPr>
        <w:t>ertil kommer en begrænsning for torskef</w:t>
      </w:r>
      <w:r w:rsidRPr="00946C9C">
        <w:rPr>
          <w:i/>
          <w:szCs w:val="26"/>
        </w:rPr>
        <w:t>i</w:t>
      </w:r>
      <w:r w:rsidRPr="00946C9C">
        <w:rPr>
          <w:i/>
          <w:szCs w:val="26"/>
        </w:rPr>
        <w:t xml:space="preserve">skeriet i </w:t>
      </w:r>
      <w:r>
        <w:rPr>
          <w:i/>
          <w:szCs w:val="26"/>
        </w:rPr>
        <w:t xml:space="preserve">ICES </w:t>
      </w:r>
      <w:r w:rsidRPr="00946C9C">
        <w:rPr>
          <w:i/>
          <w:szCs w:val="26"/>
        </w:rPr>
        <w:t xml:space="preserve">underområde 24 til kun at måtte omfatte </w:t>
      </w:r>
      <w:r>
        <w:rPr>
          <w:i/>
          <w:szCs w:val="26"/>
        </w:rPr>
        <w:t xml:space="preserve">uundgåelige </w:t>
      </w:r>
      <w:r w:rsidRPr="00946C9C">
        <w:rPr>
          <w:i/>
          <w:szCs w:val="26"/>
        </w:rPr>
        <w:t>bifangster.</w:t>
      </w:r>
      <w:r>
        <w:rPr>
          <w:i/>
          <w:szCs w:val="26"/>
        </w:rPr>
        <w:t xml:space="preserve"> Lukkeperioden i dette område udvides med to måneder og skal gælde fra 1. maj til 31. august for fartøjer over 12 m</w:t>
      </w:r>
      <w:r>
        <w:rPr>
          <w:i/>
          <w:szCs w:val="26"/>
        </w:rPr>
        <w:t>e</w:t>
      </w:r>
      <w:r>
        <w:rPr>
          <w:i/>
          <w:szCs w:val="26"/>
        </w:rPr>
        <w:t xml:space="preserve">ter.  Det rekreative fiskeri efter torsk i dette område må kun foregå ud til </w:t>
      </w:r>
      <w:proofErr w:type="spellStart"/>
      <w:r>
        <w:rPr>
          <w:i/>
          <w:szCs w:val="26"/>
        </w:rPr>
        <w:t>seks-sømilegrænsen</w:t>
      </w:r>
      <w:proofErr w:type="spellEnd"/>
      <w:r>
        <w:rPr>
          <w:i/>
          <w:szCs w:val="26"/>
        </w:rPr>
        <w:t xml:space="preserve"> med samme begrænsning som for ICES underområde 22 og 23, således der må tages fem styk med i land pr. dag, dog kun to styk i februar og marts. </w:t>
      </w:r>
      <w:r w:rsidRPr="00946C9C">
        <w:rPr>
          <w:i/>
          <w:szCs w:val="26"/>
        </w:rPr>
        <w:t xml:space="preserve">For torsk i den østlige Østersø har Kommissionen </w:t>
      </w:r>
      <w:r>
        <w:rPr>
          <w:i/>
          <w:szCs w:val="26"/>
        </w:rPr>
        <w:t>fre</w:t>
      </w:r>
      <w:r>
        <w:rPr>
          <w:i/>
          <w:szCs w:val="26"/>
        </w:rPr>
        <w:t>m</w:t>
      </w:r>
      <w:r>
        <w:rPr>
          <w:i/>
          <w:szCs w:val="26"/>
        </w:rPr>
        <w:t xml:space="preserve">lagt et kvoteforslag på 595 tons, </w:t>
      </w:r>
      <w:r w:rsidRPr="00A739DA">
        <w:rPr>
          <w:i/>
          <w:szCs w:val="26"/>
        </w:rPr>
        <w:t xml:space="preserve">som udelukkende vil skulle dække </w:t>
      </w:r>
      <w:r>
        <w:rPr>
          <w:i/>
          <w:szCs w:val="26"/>
        </w:rPr>
        <w:t xml:space="preserve">uundgåelige </w:t>
      </w:r>
      <w:r w:rsidRPr="00A739DA">
        <w:rPr>
          <w:i/>
          <w:szCs w:val="26"/>
        </w:rPr>
        <w:t>bifangster, og ikke tillade et kommercielt fiskeri på denne bestand</w:t>
      </w:r>
      <w:r w:rsidRPr="00946C9C">
        <w:rPr>
          <w:i/>
          <w:szCs w:val="26"/>
        </w:rPr>
        <w:t xml:space="preserve">. Forslaget indeholder </w:t>
      </w:r>
      <w:r>
        <w:rPr>
          <w:i/>
          <w:szCs w:val="26"/>
        </w:rPr>
        <w:t xml:space="preserve">tillige </w:t>
      </w:r>
      <w:r w:rsidRPr="00946C9C">
        <w:rPr>
          <w:i/>
          <w:szCs w:val="26"/>
        </w:rPr>
        <w:t xml:space="preserve">lukning for fiskeri efter torsk i </w:t>
      </w:r>
      <w:r>
        <w:rPr>
          <w:i/>
          <w:szCs w:val="26"/>
        </w:rPr>
        <w:t xml:space="preserve">ICES underområde 25 og 26 i den </w:t>
      </w:r>
      <w:r w:rsidRPr="00946C9C">
        <w:rPr>
          <w:i/>
          <w:szCs w:val="26"/>
        </w:rPr>
        <w:t xml:space="preserve">østlige Østersø fra 1. maj til 31. august for fartøjer over 12 meter. </w:t>
      </w:r>
      <w:r>
        <w:rPr>
          <w:i/>
          <w:szCs w:val="26"/>
        </w:rPr>
        <w:t xml:space="preserve">Dertil kommer forbud mod rekreativt fiskeri efter torsk i ICES underområde 25 og 26. </w:t>
      </w:r>
      <w:r w:rsidRPr="00946C9C">
        <w:rPr>
          <w:i/>
          <w:szCs w:val="26"/>
        </w:rPr>
        <w:t>Fo</w:t>
      </w:r>
      <w:r w:rsidRPr="00946C9C">
        <w:rPr>
          <w:i/>
          <w:szCs w:val="26"/>
        </w:rPr>
        <w:t>r</w:t>
      </w:r>
      <w:r w:rsidRPr="00946C9C">
        <w:rPr>
          <w:i/>
          <w:szCs w:val="26"/>
        </w:rPr>
        <w:t xml:space="preserve">slaget indebærer </w:t>
      </w:r>
      <w:r>
        <w:rPr>
          <w:i/>
          <w:szCs w:val="26"/>
        </w:rPr>
        <w:t>desuden</w:t>
      </w:r>
      <w:r w:rsidRPr="00946C9C">
        <w:rPr>
          <w:i/>
          <w:szCs w:val="26"/>
        </w:rPr>
        <w:t xml:space="preserve"> en reduktion på </w:t>
      </w:r>
      <w:r>
        <w:rPr>
          <w:i/>
          <w:szCs w:val="26"/>
        </w:rPr>
        <w:t>50</w:t>
      </w:r>
      <w:r w:rsidRPr="00946C9C">
        <w:rPr>
          <w:i/>
          <w:szCs w:val="26"/>
        </w:rPr>
        <w:t xml:space="preserve"> % for sild i den vestlige Østersø, samt reduktioner på </w:t>
      </w:r>
      <w:r>
        <w:rPr>
          <w:i/>
          <w:szCs w:val="26"/>
        </w:rPr>
        <w:t>36</w:t>
      </w:r>
      <w:r w:rsidRPr="00946C9C">
        <w:rPr>
          <w:i/>
          <w:szCs w:val="26"/>
        </w:rPr>
        <w:t xml:space="preserve"> % for sild i den centrale Østersø, </w:t>
      </w:r>
      <w:r>
        <w:rPr>
          <w:i/>
          <w:szCs w:val="26"/>
        </w:rPr>
        <w:t xml:space="preserve">en uændret TAC </w:t>
      </w:r>
      <w:r w:rsidRPr="00946C9C">
        <w:rPr>
          <w:i/>
          <w:szCs w:val="26"/>
        </w:rPr>
        <w:t>for brisling</w:t>
      </w:r>
      <w:r>
        <w:rPr>
          <w:i/>
          <w:szCs w:val="26"/>
        </w:rPr>
        <w:t xml:space="preserve"> og</w:t>
      </w:r>
      <w:r w:rsidRPr="00946C9C">
        <w:rPr>
          <w:i/>
          <w:szCs w:val="26"/>
        </w:rPr>
        <w:t xml:space="preserve"> rødspætte og </w:t>
      </w:r>
      <w:r>
        <w:rPr>
          <w:i/>
          <w:szCs w:val="26"/>
        </w:rPr>
        <w:t>en stigning på 9</w:t>
      </w:r>
      <w:r w:rsidRPr="00946C9C">
        <w:rPr>
          <w:i/>
          <w:szCs w:val="26"/>
        </w:rPr>
        <w:t xml:space="preserve"> % for laks</w:t>
      </w:r>
      <w:r>
        <w:rPr>
          <w:i/>
          <w:szCs w:val="26"/>
        </w:rPr>
        <w:t xml:space="preserve"> i område 22-31. </w:t>
      </w:r>
      <w:r w:rsidRPr="00A60D26">
        <w:rPr>
          <w:i/>
          <w:szCs w:val="26"/>
        </w:rPr>
        <w:t xml:space="preserve">Forslaget vurderes </w:t>
      </w:r>
      <w:r w:rsidRPr="003B2776">
        <w:rPr>
          <w:i/>
          <w:szCs w:val="26"/>
        </w:rPr>
        <w:t>at have negative erhvervsøkonomiske konsekvenser for fiskere</w:t>
      </w:r>
      <w:r w:rsidRPr="00A60D26">
        <w:rPr>
          <w:i/>
          <w:szCs w:val="26"/>
        </w:rPr>
        <w:t xml:space="preserve"> berørt af de foreslåede kvotereduktioner.</w:t>
      </w:r>
      <w:r>
        <w:rPr>
          <w:i/>
          <w:szCs w:val="26"/>
        </w:rPr>
        <w:t xml:space="preserve"> Forslaget skønnes at have en positiv effekt på b</w:t>
      </w:r>
      <w:r>
        <w:rPr>
          <w:i/>
          <w:szCs w:val="26"/>
        </w:rPr>
        <w:t>e</w:t>
      </w:r>
      <w:r>
        <w:rPr>
          <w:i/>
          <w:szCs w:val="26"/>
        </w:rPr>
        <w:t xml:space="preserve">skyttelsesniveauet, da </w:t>
      </w:r>
      <w:r w:rsidRPr="007D1FF7">
        <w:rPr>
          <w:i/>
          <w:szCs w:val="26"/>
        </w:rPr>
        <w:t xml:space="preserve">forslaget </w:t>
      </w:r>
      <w:r w:rsidRPr="007D1FF7">
        <w:rPr>
          <w:i/>
        </w:rPr>
        <w:t>tager højde for bestandssituationen for de berørte bestande</w:t>
      </w:r>
      <w:r w:rsidRPr="007D1FF7">
        <w:rPr>
          <w:i/>
          <w:szCs w:val="26"/>
        </w:rPr>
        <w:t>.</w:t>
      </w:r>
      <w:r>
        <w:rPr>
          <w:i/>
          <w:szCs w:val="26"/>
        </w:rPr>
        <w:t xml:space="preserve"> </w:t>
      </w:r>
      <w:r w:rsidRPr="00994591">
        <w:rPr>
          <w:rFonts w:eastAsia="SimSun"/>
          <w:i/>
          <w:szCs w:val="26"/>
        </w:rPr>
        <w:t>Sagen er på dagsordenen for rådsmøde (landbrug og fiskeri) den 1</w:t>
      </w:r>
      <w:r>
        <w:rPr>
          <w:rFonts w:eastAsia="SimSun"/>
          <w:i/>
          <w:szCs w:val="26"/>
        </w:rPr>
        <w:t>9</w:t>
      </w:r>
      <w:r w:rsidRPr="00994591">
        <w:rPr>
          <w:rFonts w:eastAsia="SimSun"/>
          <w:i/>
          <w:szCs w:val="26"/>
        </w:rPr>
        <w:t>.-</w:t>
      </w:r>
      <w:r>
        <w:rPr>
          <w:rFonts w:eastAsia="SimSun"/>
          <w:i/>
          <w:szCs w:val="26"/>
        </w:rPr>
        <w:t>20</w:t>
      </w:r>
      <w:r w:rsidRPr="00994591">
        <w:rPr>
          <w:rFonts w:eastAsia="SimSun"/>
          <w:i/>
          <w:szCs w:val="26"/>
        </w:rPr>
        <w:t>. oktober 20</w:t>
      </w:r>
      <w:r>
        <w:rPr>
          <w:rFonts w:eastAsia="SimSun"/>
          <w:i/>
          <w:szCs w:val="26"/>
        </w:rPr>
        <w:t>20</w:t>
      </w:r>
      <w:r w:rsidRPr="00994591">
        <w:rPr>
          <w:rFonts w:eastAsia="SimSun"/>
          <w:i/>
          <w:szCs w:val="26"/>
        </w:rPr>
        <w:t xml:space="preserve"> med henblik på pol</w:t>
      </w:r>
      <w:r w:rsidRPr="00994591">
        <w:rPr>
          <w:rFonts w:eastAsia="SimSun"/>
          <w:i/>
          <w:szCs w:val="26"/>
        </w:rPr>
        <w:t>i</w:t>
      </w:r>
      <w:r w:rsidRPr="00994591">
        <w:rPr>
          <w:rFonts w:eastAsia="SimSun"/>
          <w:i/>
          <w:szCs w:val="26"/>
        </w:rPr>
        <w:t>tisk enighed.</w:t>
      </w:r>
    </w:p>
    <w:p w:rsidR="00867898" w:rsidRPr="0068502E" w:rsidRDefault="00867898" w:rsidP="00867898">
      <w:pPr>
        <w:pStyle w:val="Overskrift1"/>
        <w:rPr>
          <w:sz w:val="20"/>
          <w:szCs w:val="20"/>
        </w:rPr>
      </w:pPr>
      <w:r w:rsidRPr="0068502E">
        <w:rPr>
          <w:sz w:val="20"/>
          <w:szCs w:val="20"/>
        </w:rPr>
        <w:t>Baggrund</w:t>
      </w:r>
    </w:p>
    <w:p w:rsidR="00867898" w:rsidRPr="00123121" w:rsidRDefault="00867898" w:rsidP="00867898">
      <w:pPr>
        <w:outlineLvl w:val="0"/>
        <w:rPr>
          <w:szCs w:val="26"/>
        </w:rPr>
      </w:pPr>
      <w:r w:rsidRPr="00123121">
        <w:rPr>
          <w:szCs w:val="26"/>
        </w:rPr>
        <w:t>Kommissionen har ved KOM (20</w:t>
      </w:r>
      <w:r>
        <w:rPr>
          <w:szCs w:val="26"/>
        </w:rPr>
        <w:t>20</w:t>
      </w:r>
      <w:r w:rsidRPr="00123121">
        <w:rPr>
          <w:szCs w:val="26"/>
        </w:rPr>
        <w:t xml:space="preserve">) </w:t>
      </w:r>
      <w:r>
        <w:rPr>
          <w:szCs w:val="26"/>
        </w:rPr>
        <w:t xml:space="preserve">436 </w:t>
      </w:r>
      <w:r w:rsidRPr="003B2776">
        <w:rPr>
          <w:szCs w:val="26"/>
        </w:rPr>
        <w:t xml:space="preserve">af </w:t>
      </w:r>
      <w:r>
        <w:rPr>
          <w:szCs w:val="26"/>
        </w:rPr>
        <w:t>28</w:t>
      </w:r>
      <w:r w:rsidRPr="003B2776">
        <w:rPr>
          <w:szCs w:val="26"/>
        </w:rPr>
        <w:t>. august</w:t>
      </w:r>
      <w:r>
        <w:rPr>
          <w:szCs w:val="26"/>
        </w:rPr>
        <w:t xml:space="preserve"> 2020 </w:t>
      </w:r>
      <w:r w:rsidRPr="00123121">
        <w:rPr>
          <w:szCs w:val="26"/>
        </w:rPr>
        <w:t>fremsendt forslag til Rådets forordning om fastsættelse for 20</w:t>
      </w:r>
      <w:r>
        <w:rPr>
          <w:szCs w:val="26"/>
        </w:rPr>
        <w:t>21</w:t>
      </w:r>
      <w:r w:rsidRPr="00123121">
        <w:rPr>
          <w:szCs w:val="26"/>
        </w:rPr>
        <w:t xml:space="preserve"> af fiskerimuligheder for visse fiskebestande og grupper af fiskebestande i Østersøen. </w:t>
      </w:r>
      <w:r w:rsidRPr="00E21D46">
        <w:rPr>
          <w:szCs w:val="26"/>
        </w:rPr>
        <w:t xml:space="preserve">Forslaget er oversendt til Rådet den </w:t>
      </w:r>
      <w:r>
        <w:rPr>
          <w:szCs w:val="26"/>
        </w:rPr>
        <w:t>31.</w:t>
      </w:r>
      <w:r w:rsidRPr="003B2776">
        <w:rPr>
          <w:szCs w:val="26"/>
        </w:rPr>
        <w:t xml:space="preserve"> august</w:t>
      </w:r>
      <w:r w:rsidRPr="006E7B3F">
        <w:rPr>
          <w:szCs w:val="26"/>
        </w:rPr>
        <w:t xml:space="preserve"> 2020 i en dansk sprogudgave.</w:t>
      </w:r>
      <w:r w:rsidRPr="00123121">
        <w:rPr>
          <w:szCs w:val="26"/>
        </w:rPr>
        <w:t xml:space="preserve"> </w:t>
      </w:r>
    </w:p>
    <w:p w:rsidR="00867898" w:rsidRPr="00123121" w:rsidRDefault="00867898" w:rsidP="00867898">
      <w:pPr>
        <w:outlineLvl w:val="0"/>
        <w:rPr>
          <w:szCs w:val="26"/>
        </w:rPr>
      </w:pPr>
    </w:p>
    <w:p w:rsidR="00867898" w:rsidRDefault="00867898" w:rsidP="00867898">
      <w:pPr>
        <w:rPr>
          <w:szCs w:val="26"/>
        </w:rPr>
      </w:pPr>
      <w:r w:rsidRPr="00123121">
        <w:rPr>
          <w:szCs w:val="26"/>
        </w:rPr>
        <w:t>Forslaget er fremsat med hjemmel i TEUF artikel 43, stk. 3, og kan vedtages af Rådet med kvalificeret flertal</w:t>
      </w:r>
      <w:r>
        <w:rPr>
          <w:szCs w:val="26"/>
        </w:rPr>
        <w:t>.</w:t>
      </w:r>
    </w:p>
    <w:p w:rsidR="00867898" w:rsidRDefault="00867898" w:rsidP="00867898">
      <w:pPr>
        <w:rPr>
          <w:szCs w:val="26"/>
        </w:rPr>
      </w:pPr>
    </w:p>
    <w:p w:rsidR="00867898" w:rsidRPr="00372EA9" w:rsidRDefault="00867898" w:rsidP="00867898">
      <w:pPr>
        <w:rPr>
          <w:rFonts w:eastAsia="SimSun"/>
          <w:szCs w:val="26"/>
        </w:rPr>
      </w:pPr>
      <w:r>
        <w:rPr>
          <w:rFonts w:eastAsia="SimSun"/>
          <w:szCs w:val="26"/>
        </w:rPr>
        <w:t>Sagen er på dagsordenen for rådsmøde (landbrug og fiskeri) den 19.-</w:t>
      </w:r>
      <w:r w:rsidDel="0002780E">
        <w:rPr>
          <w:rFonts w:eastAsia="SimSun"/>
          <w:szCs w:val="26"/>
        </w:rPr>
        <w:t xml:space="preserve"> </w:t>
      </w:r>
      <w:r>
        <w:rPr>
          <w:rFonts w:eastAsia="SimSun"/>
          <w:szCs w:val="26"/>
        </w:rPr>
        <w:t xml:space="preserve">20. oktober 2020 med henblik på politisk enighed. </w:t>
      </w:r>
    </w:p>
    <w:p w:rsidR="00867898" w:rsidRPr="00123121" w:rsidRDefault="00867898" w:rsidP="00867898">
      <w:pPr>
        <w:rPr>
          <w:rFonts w:eastAsia="SimSun"/>
          <w:szCs w:val="26"/>
        </w:rPr>
      </w:pPr>
    </w:p>
    <w:p w:rsidR="00867898" w:rsidRPr="00123121" w:rsidRDefault="00867898" w:rsidP="00867898">
      <w:pPr>
        <w:rPr>
          <w:rFonts w:eastAsia="SimSun"/>
          <w:b/>
          <w:szCs w:val="26"/>
        </w:rPr>
      </w:pPr>
      <w:r w:rsidRPr="00123121">
        <w:rPr>
          <w:rFonts w:eastAsia="SimSun"/>
          <w:b/>
          <w:szCs w:val="26"/>
        </w:rPr>
        <w:t>Formål og indhold</w:t>
      </w:r>
    </w:p>
    <w:p w:rsidR="00867898" w:rsidRPr="00123121" w:rsidRDefault="00867898" w:rsidP="00867898">
      <w:pPr>
        <w:rPr>
          <w:szCs w:val="26"/>
        </w:rPr>
      </w:pPr>
      <w:r w:rsidRPr="00123121">
        <w:rPr>
          <w:szCs w:val="26"/>
        </w:rPr>
        <w:t>Formålet med Kommissionens forslag om fastsættelse af fiskerimuligheder</w:t>
      </w:r>
      <w:r>
        <w:rPr>
          <w:szCs w:val="26"/>
        </w:rPr>
        <w:t xml:space="preserve"> </w:t>
      </w:r>
      <w:r w:rsidRPr="00123121">
        <w:rPr>
          <w:szCs w:val="26"/>
        </w:rPr>
        <w:t>for 20</w:t>
      </w:r>
      <w:r>
        <w:rPr>
          <w:szCs w:val="26"/>
        </w:rPr>
        <w:t>21</w:t>
      </w:r>
      <w:r w:rsidRPr="00123121">
        <w:rPr>
          <w:szCs w:val="26"/>
        </w:rPr>
        <w:t xml:space="preserve"> for visse fiskeb</w:t>
      </w:r>
      <w:r w:rsidRPr="00123121">
        <w:rPr>
          <w:szCs w:val="26"/>
        </w:rPr>
        <w:t>e</w:t>
      </w:r>
      <w:r w:rsidRPr="00123121">
        <w:rPr>
          <w:szCs w:val="26"/>
        </w:rPr>
        <w:t xml:space="preserve">stande og grupper af fiskebestande i Østersøen er at fastsætte fangstbegrænsninger for EU-fiskeriet med henblik på at sikre et bæredygtigt fiskeri på såvel kort som </w:t>
      </w:r>
      <w:r>
        <w:rPr>
          <w:szCs w:val="26"/>
        </w:rPr>
        <w:t xml:space="preserve">på </w:t>
      </w:r>
      <w:r w:rsidRPr="00123121">
        <w:rPr>
          <w:szCs w:val="26"/>
        </w:rPr>
        <w:t xml:space="preserve">langt sigt. Forslaget bygger på den videnskabelige rådgivning om fiskerimuligheder i Østersøen udarbejdet af </w:t>
      </w:r>
      <w:r>
        <w:rPr>
          <w:szCs w:val="26"/>
        </w:rPr>
        <w:t xml:space="preserve">Det Internationale </w:t>
      </w:r>
      <w:proofErr w:type="spellStart"/>
      <w:r>
        <w:rPr>
          <w:szCs w:val="26"/>
        </w:rPr>
        <w:t>Havu</w:t>
      </w:r>
      <w:r>
        <w:rPr>
          <w:szCs w:val="26"/>
        </w:rPr>
        <w:t>n</w:t>
      </w:r>
      <w:r>
        <w:rPr>
          <w:szCs w:val="26"/>
        </w:rPr>
        <w:t>dersøgelsesråd</w:t>
      </w:r>
      <w:proofErr w:type="spellEnd"/>
      <w:r>
        <w:rPr>
          <w:szCs w:val="26"/>
        </w:rPr>
        <w:t xml:space="preserve"> (</w:t>
      </w:r>
      <w:r w:rsidRPr="00123121">
        <w:rPr>
          <w:szCs w:val="26"/>
        </w:rPr>
        <w:t>ICES</w:t>
      </w:r>
      <w:r>
        <w:rPr>
          <w:szCs w:val="26"/>
        </w:rPr>
        <w:t>)</w:t>
      </w:r>
      <w:r w:rsidRPr="00123121">
        <w:rPr>
          <w:szCs w:val="26"/>
        </w:rPr>
        <w:t xml:space="preserve"> under hensyntagen til principperne for </w:t>
      </w:r>
      <w:proofErr w:type="spellStart"/>
      <w:r w:rsidRPr="00123121">
        <w:rPr>
          <w:szCs w:val="26"/>
        </w:rPr>
        <w:t>TAC-fastsættelse</w:t>
      </w:r>
      <w:proofErr w:type="spellEnd"/>
      <w:r w:rsidRPr="00123121">
        <w:rPr>
          <w:szCs w:val="26"/>
        </w:rPr>
        <w:t>, som fremgår af Ko</w:t>
      </w:r>
      <w:r w:rsidRPr="00123121">
        <w:rPr>
          <w:szCs w:val="26"/>
        </w:rPr>
        <w:t>m</w:t>
      </w:r>
      <w:r w:rsidRPr="00123121">
        <w:rPr>
          <w:szCs w:val="26"/>
        </w:rPr>
        <w:t>missionens meddelelse om høring om fiskerimuligheder for 20</w:t>
      </w:r>
      <w:r>
        <w:rPr>
          <w:szCs w:val="26"/>
        </w:rPr>
        <w:t>21</w:t>
      </w:r>
      <w:r w:rsidRPr="00123121">
        <w:rPr>
          <w:szCs w:val="26"/>
        </w:rPr>
        <w:t xml:space="preserve"> - KOM (20</w:t>
      </w:r>
      <w:r>
        <w:rPr>
          <w:szCs w:val="26"/>
        </w:rPr>
        <w:t>20</w:t>
      </w:r>
      <w:r w:rsidRPr="00123121">
        <w:rPr>
          <w:szCs w:val="26"/>
        </w:rPr>
        <w:t>)</w:t>
      </w:r>
      <w:r>
        <w:rPr>
          <w:szCs w:val="26"/>
        </w:rPr>
        <w:t xml:space="preserve"> 248</w:t>
      </w:r>
      <w:r w:rsidRPr="00123121">
        <w:rPr>
          <w:szCs w:val="26"/>
        </w:rPr>
        <w:t>. Det fremgår af disse principper, at såfremt der foreligger en forvaltningsplan, skal en sådan danne grundlag for fas</w:t>
      </w:r>
      <w:r w:rsidRPr="00123121">
        <w:rPr>
          <w:szCs w:val="26"/>
        </w:rPr>
        <w:t>t</w:t>
      </w:r>
      <w:r w:rsidRPr="00123121">
        <w:rPr>
          <w:szCs w:val="26"/>
        </w:rPr>
        <w:t>sættelse af fiskerimuligheder</w:t>
      </w:r>
      <w:r>
        <w:rPr>
          <w:szCs w:val="26"/>
        </w:rPr>
        <w:t>. D</w:t>
      </w:r>
      <w:r w:rsidRPr="00123121">
        <w:rPr>
          <w:szCs w:val="26"/>
        </w:rPr>
        <w:t>erudover vil Kommissionen foreslå, at TAC og kvoter for 20</w:t>
      </w:r>
      <w:r>
        <w:rPr>
          <w:szCs w:val="26"/>
        </w:rPr>
        <w:t>21</w:t>
      </w:r>
      <w:r w:rsidRPr="00123121">
        <w:rPr>
          <w:szCs w:val="26"/>
        </w:rPr>
        <w:t xml:space="preserve"> fastsæ</w:t>
      </w:r>
      <w:r w:rsidRPr="00123121">
        <w:rPr>
          <w:szCs w:val="26"/>
        </w:rPr>
        <w:t>t</w:t>
      </w:r>
      <w:r w:rsidRPr="00123121">
        <w:rPr>
          <w:szCs w:val="26"/>
        </w:rPr>
        <w:t>tes på MSY</w:t>
      </w:r>
      <w:r w:rsidRPr="00123121">
        <w:rPr>
          <w:rStyle w:val="Fodnotehenvisning"/>
          <w:szCs w:val="26"/>
        </w:rPr>
        <w:footnoteReference w:id="3"/>
      </w:r>
      <w:r w:rsidRPr="00123121">
        <w:rPr>
          <w:szCs w:val="26"/>
        </w:rPr>
        <w:t xml:space="preserve">-niveau for bestande med fuld analytisk rådgivning og med </w:t>
      </w:r>
      <w:proofErr w:type="spellStart"/>
      <w:r w:rsidRPr="00123121">
        <w:rPr>
          <w:szCs w:val="26"/>
        </w:rPr>
        <w:t>MSY-estimater</w:t>
      </w:r>
      <w:proofErr w:type="spellEnd"/>
      <w:r w:rsidRPr="00123121">
        <w:rPr>
          <w:szCs w:val="26"/>
        </w:rPr>
        <w:t>.</w:t>
      </w:r>
    </w:p>
    <w:p w:rsidR="00867898" w:rsidRPr="00123121" w:rsidRDefault="00867898" w:rsidP="00867898">
      <w:pPr>
        <w:rPr>
          <w:szCs w:val="26"/>
        </w:rPr>
      </w:pPr>
    </w:p>
    <w:p w:rsidR="00867898" w:rsidRPr="00123121" w:rsidRDefault="00867898" w:rsidP="00867898">
      <w:pPr>
        <w:rPr>
          <w:szCs w:val="26"/>
        </w:rPr>
      </w:pPr>
      <w:r w:rsidRPr="00123121">
        <w:rPr>
          <w:szCs w:val="26"/>
        </w:rPr>
        <w:t>For bestande, hvor der ikke foreligger en fuld analytisk rådgivning, vil fiskerimulighederne blive for</w:t>
      </w:r>
      <w:r w:rsidRPr="00123121">
        <w:rPr>
          <w:szCs w:val="26"/>
        </w:rPr>
        <w:t>e</w:t>
      </w:r>
      <w:r w:rsidRPr="00123121">
        <w:rPr>
          <w:szCs w:val="26"/>
        </w:rPr>
        <w:t>slået på baggrund af den foreliggende videnskabelige rådgivning og uden at tilsidesætte behovet for bevaring af bestandene. For bestande, hvor der er utilstrækkelig viden om bestandenes tils</w:t>
      </w:r>
      <w:r>
        <w:rPr>
          <w:szCs w:val="26"/>
        </w:rPr>
        <w:t>t</w:t>
      </w:r>
      <w:r w:rsidRPr="00123121">
        <w:rPr>
          <w:szCs w:val="26"/>
        </w:rPr>
        <w:t>and, a</w:t>
      </w:r>
      <w:r w:rsidRPr="00123121">
        <w:rPr>
          <w:szCs w:val="26"/>
        </w:rPr>
        <w:t>n</w:t>
      </w:r>
      <w:r w:rsidRPr="00123121">
        <w:rPr>
          <w:szCs w:val="26"/>
        </w:rPr>
        <w:t>vendes metoden for databegrænsede bestande.</w:t>
      </w:r>
      <w:r>
        <w:rPr>
          <w:szCs w:val="26"/>
        </w:rPr>
        <w:t xml:space="preserve"> </w:t>
      </w:r>
    </w:p>
    <w:p w:rsidR="00867898" w:rsidRPr="00123121" w:rsidRDefault="00867898" w:rsidP="00867898">
      <w:pPr>
        <w:rPr>
          <w:szCs w:val="26"/>
        </w:rPr>
      </w:pPr>
    </w:p>
    <w:p w:rsidR="00867898" w:rsidRPr="00123121" w:rsidRDefault="00867898" w:rsidP="00867898">
      <w:pPr>
        <w:outlineLvl w:val="0"/>
        <w:rPr>
          <w:i/>
          <w:szCs w:val="26"/>
        </w:rPr>
      </w:pPr>
      <w:r w:rsidRPr="00123121">
        <w:rPr>
          <w:i/>
          <w:szCs w:val="26"/>
        </w:rPr>
        <w:t>EU/Rusland</w:t>
      </w:r>
    </w:p>
    <w:p w:rsidR="00867898" w:rsidRPr="00123121" w:rsidRDefault="00867898" w:rsidP="00867898">
      <w:pPr>
        <w:outlineLvl w:val="0"/>
        <w:rPr>
          <w:szCs w:val="26"/>
        </w:rPr>
      </w:pPr>
      <w:r w:rsidRPr="00123121">
        <w:rPr>
          <w:szCs w:val="26"/>
        </w:rPr>
        <w:t>EU og Rusland indgik den 10.-12. juli 2006 en aftale om samarbejde på fiskeriområdet og om bevare</w:t>
      </w:r>
      <w:r w:rsidRPr="00123121">
        <w:rPr>
          <w:szCs w:val="26"/>
        </w:rPr>
        <w:t>l</w:t>
      </w:r>
      <w:r w:rsidRPr="00123121">
        <w:rPr>
          <w:szCs w:val="26"/>
        </w:rPr>
        <w:t>se af de levende marine ressourcer i Østersøen. Aftalen blev ratificeret af EU den 4. juni 2009. EU og Rusland har ikke opnået enighed om fælles forvaltning for de fælles bestande, hvilket betyder, at EU’s rådighedsmængder for bestande fælles med Rusland også i 20</w:t>
      </w:r>
      <w:r>
        <w:rPr>
          <w:szCs w:val="26"/>
        </w:rPr>
        <w:t>21</w:t>
      </w:r>
      <w:r w:rsidRPr="00123121">
        <w:rPr>
          <w:szCs w:val="26"/>
        </w:rPr>
        <w:t xml:space="preserve"> vil blive fastsat som autonome kvoter.</w:t>
      </w:r>
      <w:r>
        <w:rPr>
          <w:szCs w:val="26"/>
        </w:rPr>
        <w:t xml:space="preserve"> </w:t>
      </w:r>
      <w:r w:rsidRPr="005060C7">
        <w:t xml:space="preserve">Kommissionen har, hvor det er relevant i forslaget til fiskerimuligheder, </w:t>
      </w:r>
      <w:r>
        <w:t>reduceret for</w:t>
      </w:r>
      <w:r w:rsidRPr="005060C7">
        <w:t xml:space="preserve"> de teoretiske russiske andele</w:t>
      </w:r>
      <w:r>
        <w:t>.</w:t>
      </w:r>
    </w:p>
    <w:p w:rsidR="00867898" w:rsidRPr="00123121" w:rsidRDefault="00867898" w:rsidP="00867898">
      <w:pPr>
        <w:outlineLvl w:val="0"/>
        <w:rPr>
          <w:i/>
          <w:szCs w:val="26"/>
        </w:rPr>
      </w:pPr>
    </w:p>
    <w:p w:rsidR="00867898" w:rsidRPr="00123121" w:rsidRDefault="00867898" w:rsidP="00867898">
      <w:pPr>
        <w:outlineLvl w:val="0"/>
        <w:rPr>
          <w:i/>
          <w:szCs w:val="26"/>
        </w:rPr>
      </w:pPr>
      <w:r w:rsidRPr="00123121">
        <w:rPr>
          <w:i/>
          <w:szCs w:val="26"/>
        </w:rPr>
        <w:t>Fiskerimuligheder</w:t>
      </w:r>
    </w:p>
    <w:p w:rsidR="00867898" w:rsidRPr="00123121" w:rsidRDefault="00867898" w:rsidP="00867898">
      <w:pPr>
        <w:outlineLvl w:val="0"/>
        <w:rPr>
          <w:szCs w:val="26"/>
        </w:rPr>
      </w:pPr>
      <w:r w:rsidRPr="00123121">
        <w:rPr>
          <w:szCs w:val="26"/>
        </w:rPr>
        <w:t>ICES giver sin rådgivning for torsk for henholdsvis den vestlige og den østlige torskebestand, og ikke for de to forvaltningsområder i Østersøen. I rådgivningen</w:t>
      </w:r>
      <w:r>
        <w:rPr>
          <w:szCs w:val="26"/>
        </w:rPr>
        <w:t xml:space="preserve"> indgår data fra det rekreative fiskeri efter torsk, og der er taget højde for dette i anbefalingerne for det kommercielle fiskeri efter torsk i den ves</w:t>
      </w:r>
      <w:r>
        <w:rPr>
          <w:szCs w:val="26"/>
        </w:rPr>
        <w:t>t</w:t>
      </w:r>
      <w:r>
        <w:rPr>
          <w:szCs w:val="26"/>
        </w:rPr>
        <w:t>lige Østersø.</w:t>
      </w:r>
    </w:p>
    <w:p w:rsidR="00867898" w:rsidRPr="00123121" w:rsidRDefault="00867898" w:rsidP="00867898">
      <w:pPr>
        <w:outlineLvl w:val="0"/>
        <w:rPr>
          <w:szCs w:val="26"/>
        </w:rPr>
      </w:pPr>
    </w:p>
    <w:p w:rsidR="00867898" w:rsidRDefault="00867898" w:rsidP="00867898">
      <w:pPr>
        <w:outlineLvl w:val="0"/>
        <w:rPr>
          <w:szCs w:val="26"/>
        </w:rPr>
      </w:pPr>
      <w:r w:rsidRPr="00123121">
        <w:rPr>
          <w:szCs w:val="26"/>
        </w:rPr>
        <w:t xml:space="preserve">Kommissionens forslag indebærer en </w:t>
      </w:r>
      <w:r>
        <w:rPr>
          <w:szCs w:val="26"/>
        </w:rPr>
        <w:t>reduktion</w:t>
      </w:r>
      <w:r w:rsidRPr="00123121">
        <w:rPr>
          <w:szCs w:val="26"/>
        </w:rPr>
        <w:t xml:space="preserve"> i kvoten for torsk i den vestlige Østersø på </w:t>
      </w:r>
      <w:r>
        <w:rPr>
          <w:szCs w:val="26"/>
        </w:rPr>
        <w:t>11</w:t>
      </w:r>
      <w:r w:rsidRPr="00123121">
        <w:rPr>
          <w:szCs w:val="26"/>
        </w:rPr>
        <w:t xml:space="preserve"> % i fo</w:t>
      </w:r>
      <w:r w:rsidRPr="00123121">
        <w:rPr>
          <w:szCs w:val="26"/>
        </w:rPr>
        <w:t>r</w:t>
      </w:r>
      <w:r w:rsidRPr="00123121">
        <w:rPr>
          <w:szCs w:val="26"/>
        </w:rPr>
        <w:t>hold til 20</w:t>
      </w:r>
      <w:r>
        <w:rPr>
          <w:szCs w:val="26"/>
        </w:rPr>
        <w:t>20</w:t>
      </w:r>
      <w:r w:rsidRPr="00123121">
        <w:rPr>
          <w:szCs w:val="26"/>
        </w:rPr>
        <w:t xml:space="preserve">. </w:t>
      </w:r>
      <w:r>
        <w:rPr>
          <w:szCs w:val="26"/>
        </w:rPr>
        <w:t xml:space="preserve">Kommissionen har i sit forslag lagt til grund, at </w:t>
      </w:r>
      <w:proofErr w:type="spellStart"/>
      <w:r>
        <w:rPr>
          <w:szCs w:val="26"/>
        </w:rPr>
        <w:t>gydebiomassen</w:t>
      </w:r>
      <w:proofErr w:type="spellEnd"/>
      <w:r>
        <w:rPr>
          <w:szCs w:val="26"/>
        </w:rPr>
        <w:t xml:space="preserve"> for </w:t>
      </w:r>
      <w:proofErr w:type="spellStart"/>
      <w:r>
        <w:rPr>
          <w:szCs w:val="26"/>
        </w:rPr>
        <w:t>vesttorsk</w:t>
      </w:r>
      <w:proofErr w:type="spellEnd"/>
      <w:r>
        <w:rPr>
          <w:szCs w:val="26"/>
        </w:rPr>
        <w:t xml:space="preserve"> på nuv</w:t>
      </w:r>
      <w:r>
        <w:rPr>
          <w:szCs w:val="26"/>
        </w:rPr>
        <w:t>æ</w:t>
      </w:r>
      <w:r>
        <w:rPr>
          <w:szCs w:val="26"/>
        </w:rPr>
        <w:t xml:space="preserve">rende tidspunkt (i 2020) ligger under </w:t>
      </w:r>
      <w:proofErr w:type="spellStart"/>
      <w:r>
        <w:rPr>
          <w:szCs w:val="26"/>
        </w:rPr>
        <w:t>MSY-værdien</w:t>
      </w:r>
      <w:proofErr w:type="spellEnd"/>
      <w:r>
        <w:rPr>
          <w:szCs w:val="26"/>
        </w:rPr>
        <w:t xml:space="preserve">, </w:t>
      </w:r>
      <w:proofErr w:type="spellStart"/>
      <w:r w:rsidRPr="005420BC">
        <w:rPr>
          <w:szCs w:val="26"/>
        </w:rPr>
        <w:t>B</w:t>
      </w:r>
      <w:r w:rsidRPr="00DB7062">
        <w:rPr>
          <w:szCs w:val="26"/>
          <w:vertAlign w:val="subscript"/>
        </w:rPr>
        <w:t>trigge</w:t>
      </w:r>
      <w:r w:rsidRPr="005420BC">
        <w:rPr>
          <w:szCs w:val="26"/>
          <w:vertAlign w:val="subscript"/>
        </w:rPr>
        <w:t>r</w:t>
      </w:r>
      <w:proofErr w:type="spellEnd"/>
      <w:r>
        <w:rPr>
          <w:szCs w:val="26"/>
        </w:rPr>
        <w:t xml:space="preserve"> (ICES rådgivningen forudser, at bestanden vil være over </w:t>
      </w:r>
      <w:proofErr w:type="spellStart"/>
      <w:r>
        <w:rPr>
          <w:szCs w:val="26"/>
        </w:rPr>
        <w:t>B</w:t>
      </w:r>
      <w:r w:rsidRPr="006E39DC">
        <w:rPr>
          <w:szCs w:val="26"/>
          <w:vertAlign w:val="subscript"/>
        </w:rPr>
        <w:t>trigger</w:t>
      </w:r>
      <w:proofErr w:type="spellEnd"/>
      <w:r>
        <w:rPr>
          <w:szCs w:val="26"/>
        </w:rPr>
        <w:t xml:space="preserve"> i 2021), men dog over </w:t>
      </w:r>
      <w:proofErr w:type="spellStart"/>
      <w:r>
        <w:rPr>
          <w:szCs w:val="26"/>
        </w:rPr>
        <w:t>mindstegrænseværdien</w:t>
      </w:r>
      <w:proofErr w:type="spellEnd"/>
      <w:r>
        <w:rPr>
          <w:szCs w:val="26"/>
        </w:rPr>
        <w:t xml:space="preserve">, </w:t>
      </w:r>
      <w:proofErr w:type="spellStart"/>
      <w:r>
        <w:rPr>
          <w:szCs w:val="26"/>
        </w:rPr>
        <w:t>B</w:t>
      </w:r>
      <w:r w:rsidRPr="006E39DC">
        <w:rPr>
          <w:szCs w:val="26"/>
          <w:vertAlign w:val="subscript"/>
        </w:rPr>
        <w:t>lim</w:t>
      </w:r>
      <w:proofErr w:type="spellEnd"/>
      <w:r>
        <w:rPr>
          <w:szCs w:val="26"/>
        </w:rPr>
        <w:t>, samt at rekrutteringen forhold til 2016 har været lav. Kommissionen har derfor foreslået en samlet TAC for det vestlige forvaltning</w:t>
      </w:r>
      <w:r>
        <w:rPr>
          <w:szCs w:val="26"/>
        </w:rPr>
        <w:t>s</w:t>
      </w:r>
      <w:r>
        <w:rPr>
          <w:szCs w:val="26"/>
        </w:rPr>
        <w:t xml:space="preserve">område på 3.395 tons, som er sammensat 2.960 tons </w:t>
      </w:r>
      <w:proofErr w:type="spellStart"/>
      <w:r>
        <w:rPr>
          <w:szCs w:val="26"/>
        </w:rPr>
        <w:t>vesttorsk</w:t>
      </w:r>
      <w:proofErr w:type="spellEnd"/>
      <w:r>
        <w:rPr>
          <w:szCs w:val="26"/>
        </w:rPr>
        <w:t xml:space="preserve"> svarende til den laveste værdi i inte</w:t>
      </w:r>
      <w:r>
        <w:rPr>
          <w:szCs w:val="26"/>
        </w:rPr>
        <w:t>r</w:t>
      </w:r>
      <w:r>
        <w:rPr>
          <w:szCs w:val="26"/>
        </w:rPr>
        <w:t xml:space="preserve">vallet for fiskeridødelighed for </w:t>
      </w:r>
      <w:proofErr w:type="spellStart"/>
      <w:r>
        <w:rPr>
          <w:szCs w:val="26"/>
        </w:rPr>
        <w:t>vestbestanden</w:t>
      </w:r>
      <w:proofErr w:type="spellEnd"/>
      <w:r>
        <w:rPr>
          <w:szCs w:val="26"/>
        </w:rPr>
        <w:t xml:space="preserve"> og 435 tons </w:t>
      </w:r>
      <w:proofErr w:type="spellStart"/>
      <w:r>
        <w:rPr>
          <w:szCs w:val="26"/>
        </w:rPr>
        <w:t>østtorsk</w:t>
      </w:r>
      <w:proofErr w:type="spellEnd"/>
      <w:r>
        <w:rPr>
          <w:szCs w:val="26"/>
        </w:rPr>
        <w:t>, som fanges i område 24 hovedsag</w:t>
      </w:r>
      <w:r>
        <w:rPr>
          <w:szCs w:val="26"/>
        </w:rPr>
        <w:t>e</w:t>
      </w:r>
      <w:r>
        <w:rPr>
          <w:szCs w:val="26"/>
        </w:rPr>
        <w:t xml:space="preserve">ligt som bifangst. Dertil kommer en udvidelse af lukkeperioden for ICES underområde 22 og 23 med </w:t>
      </w:r>
      <w:bookmarkStart w:id="0" w:name="_GoBack"/>
      <w:bookmarkEnd w:id="0"/>
      <w:r>
        <w:rPr>
          <w:szCs w:val="26"/>
        </w:rPr>
        <w:t>en måned (januar), som skal gælde i perioden fra 1. januar til 31. marts. (Det bemærkes, at Kommiss</w:t>
      </w:r>
      <w:r>
        <w:rPr>
          <w:szCs w:val="26"/>
        </w:rPr>
        <w:t>i</w:t>
      </w:r>
      <w:r>
        <w:rPr>
          <w:szCs w:val="26"/>
        </w:rPr>
        <w:t>onen har oplyst, at det er en fejl, at januar er inkluderet i forslaget, og at dette korrigeres). I lukkeper</w:t>
      </w:r>
      <w:r>
        <w:rPr>
          <w:szCs w:val="26"/>
        </w:rPr>
        <w:t>i</w:t>
      </w:r>
      <w:r>
        <w:rPr>
          <w:szCs w:val="26"/>
        </w:rPr>
        <w:t xml:space="preserve">oden vil der være undtagelser, som under visse betingelser gør det muligt for fartøjer under 12 meter at fiske i dette tidsrum. Fiskeriet efter torsk i ICES underområde 24 (den østligste del af den vestlige Østersø nærmest Bornholm) opretholdes uændret i forhold til 2020 til alene at omfatte uundgåelige bifangster, og det vil fortsat være tilladt for fartøjer under 12 meter at fiske med passive redskaber ud til seks sømil fra </w:t>
      </w:r>
      <w:proofErr w:type="spellStart"/>
      <w:r>
        <w:rPr>
          <w:szCs w:val="26"/>
        </w:rPr>
        <w:t>basislinien</w:t>
      </w:r>
      <w:proofErr w:type="spellEnd"/>
      <w:r>
        <w:rPr>
          <w:szCs w:val="26"/>
        </w:rPr>
        <w:t xml:space="preserve"> på dybder indtil 20 meter. Lukkeperioden i ICES</w:t>
      </w:r>
      <w:r w:rsidRPr="00D9381A">
        <w:rPr>
          <w:szCs w:val="26"/>
        </w:rPr>
        <w:t xml:space="preserve"> </w:t>
      </w:r>
      <w:r>
        <w:rPr>
          <w:szCs w:val="26"/>
        </w:rPr>
        <w:t>område 24 foreslår Kommissionen udvidet med månederne maj og august, således, at lukningen vil være fra 1. maj til 31. august (ligesom lukkeperioden i den østlige Østersø). Der vil i begge lukkeperioder kunne være et d</w:t>
      </w:r>
      <w:r>
        <w:rPr>
          <w:szCs w:val="26"/>
        </w:rPr>
        <w:t>i</w:t>
      </w:r>
      <w:r>
        <w:rPr>
          <w:szCs w:val="26"/>
        </w:rPr>
        <w:t xml:space="preserve">rekte fiskeri til videnskabelige formål. </w:t>
      </w:r>
      <w:r w:rsidRPr="00123121">
        <w:rPr>
          <w:szCs w:val="26"/>
        </w:rPr>
        <w:t xml:space="preserve">Forslaget indeholder </w:t>
      </w:r>
      <w:r>
        <w:rPr>
          <w:szCs w:val="26"/>
        </w:rPr>
        <w:t>fortsat</w:t>
      </w:r>
      <w:r w:rsidRPr="00123121">
        <w:rPr>
          <w:szCs w:val="26"/>
        </w:rPr>
        <w:t xml:space="preserve"> en begrænsning for det rekreative fiskeri </w:t>
      </w:r>
      <w:r>
        <w:rPr>
          <w:szCs w:val="26"/>
        </w:rPr>
        <w:t xml:space="preserve">i ICES underområde 22, 23 og 24 </w:t>
      </w:r>
      <w:r w:rsidRPr="00123121">
        <w:rPr>
          <w:szCs w:val="26"/>
        </w:rPr>
        <w:t>i form af en ”bag</w:t>
      </w:r>
      <w:r>
        <w:rPr>
          <w:szCs w:val="26"/>
        </w:rPr>
        <w:t xml:space="preserve"> </w:t>
      </w:r>
      <w:r w:rsidRPr="00123121">
        <w:rPr>
          <w:szCs w:val="26"/>
        </w:rPr>
        <w:t xml:space="preserve">limit” på </w:t>
      </w:r>
      <w:r>
        <w:rPr>
          <w:szCs w:val="26"/>
        </w:rPr>
        <w:t>fem styk, men kun to</w:t>
      </w:r>
      <w:r w:rsidRPr="00123121">
        <w:rPr>
          <w:szCs w:val="26"/>
        </w:rPr>
        <w:t xml:space="preserve"> st</w:t>
      </w:r>
      <w:r>
        <w:rPr>
          <w:szCs w:val="26"/>
        </w:rPr>
        <w:t>y</w:t>
      </w:r>
      <w:r w:rsidRPr="00123121">
        <w:rPr>
          <w:szCs w:val="26"/>
        </w:rPr>
        <w:t>k torsk</w:t>
      </w:r>
      <w:r>
        <w:rPr>
          <w:szCs w:val="26"/>
        </w:rPr>
        <w:t xml:space="preserve"> i månederne februar og marts</w:t>
      </w:r>
      <w:r w:rsidRPr="003B2776">
        <w:rPr>
          <w:szCs w:val="26"/>
        </w:rPr>
        <w:t>, som hver person må bringe i land pr. dag</w:t>
      </w:r>
      <w:r>
        <w:rPr>
          <w:szCs w:val="26"/>
        </w:rPr>
        <w:t>. Dog må d</w:t>
      </w:r>
      <w:r w:rsidRPr="00C47338">
        <w:rPr>
          <w:szCs w:val="26"/>
        </w:rPr>
        <w:t xml:space="preserve">et rekreative fiskeri i ICES </w:t>
      </w:r>
      <w:r>
        <w:rPr>
          <w:szCs w:val="26"/>
        </w:rPr>
        <w:t>under</w:t>
      </w:r>
      <w:r w:rsidRPr="00C47338">
        <w:rPr>
          <w:szCs w:val="26"/>
        </w:rPr>
        <w:t xml:space="preserve">område 24 fortsat kun foregå ud til </w:t>
      </w:r>
      <w:proofErr w:type="spellStart"/>
      <w:r w:rsidRPr="00C47338">
        <w:rPr>
          <w:szCs w:val="26"/>
        </w:rPr>
        <w:t>seks-sømilegrænsen</w:t>
      </w:r>
      <w:proofErr w:type="spellEnd"/>
      <w:r w:rsidRPr="00C47338">
        <w:rPr>
          <w:szCs w:val="26"/>
        </w:rPr>
        <w:t>.</w:t>
      </w:r>
      <w:r>
        <w:rPr>
          <w:szCs w:val="26"/>
        </w:rPr>
        <w:t xml:space="preserve"> </w:t>
      </w:r>
    </w:p>
    <w:p w:rsidR="00867898" w:rsidRDefault="00867898" w:rsidP="00867898">
      <w:pPr>
        <w:outlineLvl w:val="0"/>
        <w:rPr>
          <w:szCs w:val="26"/>
        </w:rPr>
      </w:pPr>
    </w:p>
    <w:p w:rsidR="00867898" w:rsidRDefault="00867898" w:rsidP="00867898">
      <w:pPr>
        <w:outlineLvl w:val="0"/>
        <w:rPr>
          <w:szCs w:val="26"/>
        </w:rPr>
      </w:pPr>
      <w:r>
        <w:rPr>
          <w:szCs w:val="26"/>
        </w:rPr>
        <w:t>Kvoten for torsk i den østlige Østersø reduceres med 70 % og vil udelukkende skulle dække uundgåel</w:t>
      </w:r>
      <w:r>
        <w:rPr>
          <w:szCs w:val="26"/>
        </w:rPr>
        <w:t>i</w:t>
      </w:r>
      <w:r>
        <w:rPr>
          <w:szCs w:val="26"/>
        </w:rPr>
        <w:t xml:space="preserve">ge bifangster, hvor kommercielt fiskeri på denne bestand – ligesom i 2020 - ikke vil være tilladt. Kommissionen bemærker, at </w:t>
      </w:r>
      <w:r w:rsidRPr="0034237A">
        <w:t xml:space="preserve">fastsættelse af en </w:t>
      </w:r>
      <w:proofErr w:type="spellStart"/>
      <w:r w:rsidRPr="0034237A">
        <w:t>nul-TAC</w:t>
      </w:r>
      <w:proofErr w:type="spellEnd"/>
      <w:r w:rsidRPr="0034237A">
        <w:t xml:space="preserve"> </w:t>
      </w:r>
      <w:r>
        <w:t xml:space="preserve">ville </w:t>
      </w:r>
      <w:r w:rsidRPr="0034237A">
        <w:t>føre til, at de fleste fiskerier i Østersøen indstilles</w:t>
      </w:r>
      <w:r>
        <w:t>, hvorfor Kommissionen ligesom for 2020 har fastsat en bifangstkvote med ledsagende fora</w:t>
      </w:r>
      <w:r>
        <w:t>n</w:t>
      </w:r>
      <w:r>
        <w:t>staltninger.</w:t>
      </w:r>
      <w:r>
        <w:rPr>
          <w:sz w:val="23"/>
          <w:szCs w:val="23"/>
        </w:rPr>
        <w:t xml:space="preserve"> </w:t>
      </w:r>
      <w:r>
        <w:rPr>
          <w:szCs w:val="26"/>
        </w:rPr>
        <w:t>Kommissionen har noteret, at bifangstkvoten for 2020 næppe udnyttes, og har på ba</w:t>
      </w:r>
      <w:r>
        <w:rPr>
          <w:szCs w:val="26"/>
        </w:rPr>
        <w:t>g</w:t>
      </w:r>
      <w:r>
        <w:rPr>
          <w:szCs w:val="26"/>
        </w:rPr>
        <w:t>grund af beregninger fra ICES anslået, at 595 tons vil dække behovet for bifangster af torsk i de øvrige fiskerier i den østlige Østersø. Kommissionen foreslår, at lukkeperioden opretholdes uændret fra 1. maj til 31. august, kombineret med undtagelser for mindre fartøjer under 12 meter, som under visse betingelser må fiske i lukkeperioden. Der vil hele året være mulighed for direkte fiskeri til videnskab</w:t>
      </w:r>
      <w:r>
        <w:rPr>
          <w:szCs w:val="26"/>
        </w:rPr>
        <w:t>e</w:t>
      </w:r>
      <w:r>
        <w:rPr>
          <w:szCs w:val="26"/>
        </w:rPr>
        <w:t>lige formål. Kommissions forslag indeholder tillige et forbud mod rekreativt fiskeri efter torsk i ICES underområde 25 og 26.</w:t>
      </w:r>
    </w:p>
    <w:p w:rsidR="00867898" w:rsidRDefault="00867898" w:rsidP="00867898">
      <w:pPr>
        <w:outlineLvl w:val="0"/>
        <w:rPr>
          <w:szCs w:val="26"/>
        </w:rPr>
      </w:pPr>
    </w:p>
    <w:p w:rsidR="00867898" w:rsidRPr="00AF5CB7" w:rsidRDefault="00867898" w:rsidP="00867898">
      <w:pPr>
        <w:outlineLvl w:val="0"/>
        <w:rPr>
          <w:szCs w:val="26"/>
        </w:rPr>
      </w:pPr>
      <w:r w:rsidRPr="00AF5CB7">
        <w:rPr>
          <w:szCs w:val="26"/>
        </w:rPr>
        <w:t>For sild i den vestlige Østersø indebærer Kommissionens forslag en reduktion i kvoten på 50 %. Ko</w:t>
      </w:r>
      <w:r w:rsidRPr="00AF5CB7">
        <w:rPr>
          <w:szCs w:val="26"/>
        </w:rPr>
        <w:t>m</w:t>
      </w:r>
      <w:r w:rsidRPr="00AF5CB7">
        <w:rPr>
          <w:szCs w:val="26"/>
        </w:rPr>
        <w:t xml:space="preserve">missionen har lagt vægt på, at </w:t>
      </w:r>
      <w:proofErr w:type="spellStart"/>
      <w:r w:rsidRPr="00AF5CB7">
        <w:rPr>
          <w:szCs w:val="26"/>
        </w:rPr>
        <w:t>gydebiomassen</w:t>
      </w:r>
      <w:proofErr w:type="spellEnd"/>
      <w:r w:rsidRPr="00AF5CB7">
        <w:rPr>
          <w:szCs w:val="26"/>
        </w:rPr>
        <w:t xml:space="preserve">, som angivet af ICES, ligger under grænseværdien, </w:t>
      </w:r>
      <w:proofErr w:type="spellStart"/>
      <w:r w:rsidRPr="00AF5CB7">
        <w:rPr>
          <w:szCs w:val="26"/>
        </w:rPr>
        <w:t>B</w:t>
      </w:r>
      <w:r w:rsidRPr="00AF5CB7">
        <w:rPr>
          <w:szCs w:val="26"/>
          <w:vertAlign w:val="subscript"/>
        </w:rPr>
        <w:t>lim</w:t>
      </w:r>
      <w:proofErr w:type="spellEnd"/>
      <w:r w:rsidRPr="00AF5CB7">
        <w:rPr>
          <w:szCs w:val="26"/>
        </w:rPr>
        <w:t xml:space="preserve">, og er vurderet til at ligge omkring 48 % under </w:t>
      </w:r>
      <w:proofErr w:type="spellStart"/>
      <w:r w:rsidRPr="00AF5CB7">
        <w:rPr>
          <w:szCs w:val="26"/>
        </w:rPr>
        <w:t>mindsteværdien</w:t>
      </w:r>
      <w:proofErr w:type="spellEnd"/>
      <w:r w:rsidRPr="00AF5CB7">
        <w:rPr>
          <w:szCs w:val="26"/>
        </w:rPr>
        <w:t xml:space="preserve"> for </w:t>
      </w:r>
      <w:proofErr w:type="spellStart"/>
      <w:r w:rsidRPr="00AF5CB7">
        <w:rPr>
          <w:szCs w:val="26"/>
        </w:rPr>
        <w:t>gydebiomassen</w:t>
      </w:r>
      <w:proofErr w:type="spellEnd"/>
      <w:r w:rsidRPr="00AF5CB7">
        <w:rPr>
          <w:szCs w:val="26"/>
        </w:rPr>
        <w:t>, hvilket ifølge den flerårige forvaltningsplan for Østersøen (forordning 2016/1139) indebærer, at der skal indføres afhjæ</w:t>
      </w:r>
      <w:r w:rsidRPr="00AF5CB7">
        <w:rPr>
          <w:szCs w:val="26"/>
        </w:rPr>
        <w:t>l</w:t>
      </w:r>
      <w:r w:rsidRPr="00AF5CB7">
        <w:rPr>
          <w:szCs w:val="26"/>
        </w:rPr>
        <w:t xml:space="preserve">pende foranstaltninger. Dette er ifølge forslaget sket i henhold til nævnte forordnings artikel 5, stk. 2, og artikel 4, stk. 4, hvorefter kvoten er fastsat på baggrund af en fiskeridødelighed, der ligger under intervallet for </w:t>
      </w:r>
      <w:proofErr w:type="spellStart"/>
      <w:r w:rsidRPr="00AF5CB7">
        <w:rPr>
          <w:szCs w:val="26"/>
        </w:rPr>
        <w:t>mindsteværdien</w:t>
      </w:r>
      <w:proofErr w:type="spellEnd"/>
      <w:r w:rsidRPr="00AF5CB7">
        <w:rPr>
          <w:szCs w:val="26"/>
        </w:rPr>
        <w:t>, F</w:t>
      </w:r>
      <w:r w:rsidRPr="00AF5CB7">
        <w:rPr>
          <w:szCs w:val="26"/>
          <w:vertAlign w:val="subscript"/>
        </w:rPr>
        <w:t>MSY.</w:t>
      </w:r>
    </w:p>
    <w:p w:rsidR="00867898" w:rsidRPr="00AF5CB7" w:rsidRDefault="00867898" w:rsidP="00867898">
      <w:pPr>
        <w:outlineLvl w:val="0"/>
        <w:rPr>
          <w:szCs w:val="26"/>
        </w:rPr>
      </w:pPr>
    </w:p>
    <w:p w:rsidR="00867898" w:rsidRDefault="00867898" w:rsidP="00867898">
      <w:pPr>
        <w:outlineLvl w:val="0"/>
        <w:rPr>
          <w:szCs w:val="26"/>
        </w:rPr>
      </w:pPr>
      <w:r w:rsidRPr="00AF5CB7">
        <w:rPr>
          <w:szCs w:val="26"/>
        </w:rPr>
        <w:t xml:space="preserve">Kommissionen har på grundlag af ICES rådgivningen for kvoten for sild i den centrale del af Østersøen foreslået en reduktion på 36 %. </w:t>
      </w:r>
      <w:proofErr w:type="spellStart"/>
      <w:r>
        <w:rPr>
          <w:szCs w:val="26"/>
        </w:rPr>
        <w:t>Gydebiomassen</w:t>
      </w:r>
      <w:proofErr w:type="spellEnd"/>
      <w:r>
        <w:rPr>
          <w:szCs w:val="26"/>
        </w:rPr>
        <w:t xml:space="preserve"> ligger under </w:t>
      </w:r>
      <w:proofErr w:type="spellStart"/>
      <w:r>
        <w:rPr>
          <w:szCs w:val="26"/>
        </w:rPr>
        <w:t>MSY-værdien</w:t>
      </w:r>
      <w:proofErr w:type="spellEnd"/>
      <w:r>
        <w:rPr>
          <w:szCs w:val="26"/>
        </w:rPr>
        <w:t xml:space="preserve">, </w:t>
      </w:r>
      <w:proofErr w:type="spellStart"/>
      <w:r>
        <w:rPr>
          <w:szCs w:val="26"/>
        </w:rPr>
        <w:t>B</w:t>
      </w:r>
      <w:r w:rsidRPr="009E314B">
        <w:rPr>
          <w:szCs w:val="26"/>
          <w:vertAlign w:val="subscript"/>
        </w:rPr>
        <w:t>trigger</w:t>
      </w:r>
      <w:proofErr w:type="spellEnd"/>
      <w:r>
        <w:rPr>
          <w:szCs w:val="26"/>
        </w:rPr>
        <w:t xml:space="preserve">, og derfor har Kommissionen med henvisning til den flerårige plan valgt at foreslå en kvote til et niveau i den lave del af </w:t>
      </w:r>
      <w:proofErr w:type="spellStart"/>
      <w:r>
        <w:rPr>
          <w:szCs w:val="26"/>
        </w:rPr>
        <w:t>Fmsy-spændet</w:t>
      </w:r>
      <w:proofErr w:type="spellEnd"/>
      <w:r>
        <w:rPr>
          <w:szCs w:val="26"/>
        </w:rPr>
        <w:t xml:space="preserve"> for dermed at bringe </w:t>
      </w:r>
      <w:proofErr w:type="spellStart"/>
      <w:r>
        <w:rPr>
          <w:szCs w:val="26"/>
        </w:rPr>
        <w:t>gydebiomassen</w:t>
      </w:r>
      <w:proofErr w:type="spellEnd"/>
      <w:r>
        <w:rPr>
          <w:szCs w:val="26"/>
        </w:rPr>
        <w:t xml:space="preserve"> over </w:t>
      </w:r>
      <w:proofErr w:type="spellStart"/>
      <w:r>
        <w:rPr>
          <w:szCs w:val="26"/>
        </w:rPr>
        <w:t>B</w:t>
      </w:r>
      <w:r w:rsidRPr="009E314B">
        <w:rPr>
          <w:szCs w:val="26"/>
          <w:vertAlign w:val="subscript"/>
        </w:rPr>
        <w:t>trigger</w:t>
      </w:r>
      <w:proofErr w:type="spellEnd"/>
      <w:r>
        <w:rPr>
          <w:szCs w:val="26"/>
        </w:rPr>
        <w:t xml:space="preserve"> niveauet i 2021.</w:t>
      </w:r>
    </w:p>
    <w:p w:rsidR="00867898" w:rsidRPr="00123121" w:rsidRDefault="00867898" w:rsidP="00867898">
      <w:pPr>
        <w:outlineLvl w:val="0"/>
        <w:rPr>
          <w:szCs w:val="26"/>
        </w:rPr>
      </w:pPr>
    </w:p>
    <w:p w:rsidR="00867898" w:rsidRDefault="00867898" w:rsidP="00867898">
      <w:pPr>
        <w:outlineLvl w:val="0"/>
        <w:rPr>
          <w:szCs w:val="26"/>
        </w:rPr>
      </w:pPr>
      <w:r w:rsidRPr="00AF5CB7">
        <w:rPr>
          <w:szCs w:val="26"/>
        </w:rPr>
        <w:t>Forslaget indebærer en uændret TAC på brisling, selv om ICES rådgivningen med udgangspunkt i den flerårige plan giver mulighed for at sætte en højere kvote. Kommissionen har valgt en forsigtighedsti</w:t>
      </w:r>
      <w:r w:rsidRPr="00AF5CB7">
        <w:rPr>
          <w:szCs w:val="26"/>
        </w:rPr>
        <w:t>l</w:t>
      </w:r>
      <w:r w:rsidRPr="00AF5CB7">
        <w:rPr>
          <w:szCs w:val="26"/>
        </w:rPr>
        <w:t xml:space="preserve">gang med henvisning til, at udviklingen i bestanden er afhængig af en enkelt god årgang, og at årgang 2019, som er vurderet til at ligge over gennemsnittet, skal beskyttes. Dertil kommer, at Kommissionen har taget hensyn til en nedjustering af </w:t>
      </w:r>
      <w:proofErr w:type="spellStart"/>
      <w:r w:rsidRPr="00AF5CB7">
        <w:rPr>
          <w:szCs w:val="26"/>
        </w:rPr>
        <w:t>gydebiomassen</w:t>
      </w:r>
      <w:proofErr w:type="spellEnd"/>
      <w:r w:rsidRPr="00AF5CB7">
        <w:rPr>
          <w:szCs w:val="26"/>
        </w:rPr>
        <w:t xml:space="preserve"> og til, at brisling indgår i et blandet fiskeri med </w:t>
      </w:r>
      <w:proofErr w:type="gramStart"/>
      <w:r w:rsidRPr="00AF5CB7">
        <w:rPr>
          <w:szCs w:val="26"/>
        </w:rPr>
        <w:t>sild  hvor</w:t>
      </w:r>
      <w:proofErr w:type="gramEnd"/>
      <w:r w:rsidRPr="00AF5CB7">
        <w:rPr>
          <w:szCs w:val="26"/>
        </w:rPr>
        <w:t xml:space="preserve"> kvoten for sild reduceres.</w:t>
      </w:r>
    </w:p>
    <w:p w:rsidR="00867898" w:rsidRDefault="00867898" w:rsidP="00867898">
      <w:pPr>
        <w:outlineLvl w:val="0"/>
        <w:rPr>
          <w:szCs w:val="26"/>
        </w:rPr>
      </w:pPr>
    </w:p>
    <w:p w:rsidR="00867898" w:rsidRPr="00123121" w:rsidRDefault="00867898" w:rsidP="00867898">
      <w:pPr>
        <w:outlineLvl w:val="0"/>
        <w:rPr>
          <w:szCs w:val="26"/>
        </w:rPr>
      </w:pPr>
      <w:r>
        <w:rPr>
          <w:szCs w:val="26"/>
        </w:rPr>
        <w:t>Kvoten for rødspætte er uændret, mens kvoten for laks er en stigning på 9 % i ICES underområde 22-31.</w:t>
      </w:r>
    </w:p>
    <w:p w:rsidR="00867898" w:rsidRPr="00123121" w:rsidRDefault="00867898" w:rsidP="00867898">
      <w:pPr>
        <w:outlineLvl w:val="0"/>
        <w:rPr>
          <w:szCs w:val="26"/>
        </w:rPr>
      </w:pPr>
    </w:p>
    <w:p w:rsidR="00867898" w:rsidRPr="00B32CF1" w:rsidRDefault="00867898" w:rsidP="00867898">
      <w:pPr>
        <w:outlineLvl w:val="0"/>
        <w:rPr>
          <w:szCs w:val="26"/>
        </w:rPr>
      </w:pPr>
      <w:r w:rsidRPr="00B32CF1">
        <w:rPr>
          <w:szCs w:val="26"/>
        </w:rPr>
        <w:t xml:space="preserve">Landingsforpligtelsen for fiskerier i Østersøen </w:t>
      </w:r>
      <w:r>
        <w:rPr>
          <w:szCs w:val="26"/>
        </w:rPr>
        <w:t>har været</w:t>
      </w:r>
      <w:r w:rsidRPr="00B32CF1">
        <w:rPr>
          <w:szCs w:val="26"/>
        </w:rPr>
        <w:t xml:space="preserve"> fuldt indfaset </w:t>
      </w:r>
      <w:r>
        <w:rPr>
          <w:szCs w:val="26"/>
        </w:rPr>
        <w:t>siden 1. januar 2017.</w:t>
      </w:r>
    </w:p>
    <w:p w:rsidR="00867898" w:rsidRPr="00123121" w:rsidRDefault="00867898" w:rsidP="00867898">
      <w:pPr>
        <w:tabs>
          <w:tab w:val="left" w:pos="2410"/>
        </w:tabs>
        <w:outlineLvl w:val="0"/>
        <w:rPr>
          <w:szCs w:val="26"/>
        </w:rPr>
      </w:pPr>
    </w:p>
    <w:p w:rsidR="00867898" w:rsidRPr="00123121" w:rsidRDefault="00867898" w:rsidP="00867898">
      <w:pPr>
        <w:tabs>
          <w:tab w:val="left" w:pos="2410"/>
        </w:tabs>
        <w:outlineLvl w:val="0"/>
        <w:rPr>
          <w:szCs w:val="26"/>
        </w:rPr>
      </w:pPr>
      <w:r w:rsidRPr="00123121">
        <w:rPr>
          <w:szCs w:val="26"/>
        </w:rPr>
        <w:t>ICES rådgivningen for 20</w:t>
      </w:r>
      <w:r>
        <w:rPr>
          <w:szCs w:val="26"/>
        </w:rPr>
        <w:t>21</w:t>
      </w:r>
      <w:r w:rsidRPr="00123121">
        <w:rPr>
          <w:szCs w:val="26"/>
        </w:rPr>
        <w:t xml:space="preserve"> er baseret på principperne i Europa-Parlamentets og Rådets forordning om en flerårig forvaltningsplan for torsk, sild og brisling i Østersøen, forordning (EU) 2016/1139, som blandt andet indeholder </w:t>
      </w:r>
      <w:r>
        <w:rPr>
          <w:szCs w:val="26"/>
        </w:rPr>
        <w:t>bestemmelser om intervaller</w:t>
      </w:r>
      <w:r w:rsidRPr="00123121">
        <w:rPr>
          <w:szCs w:val="26"/>
        </w:rPr>
        <w:t xml:space="preserve"> for værdier for målet for fiskeridødelighed, FMSY, samt </w:t>
      </w:r>
      <w:r>
        <w:rPr>
          <w:szCs w:val="26"/>
        </w:rPr>
        <w:t xml:space="preserve">om </w:t>
      </w:r>
      <w:r w:rsidRPr="00123121">
        <w:rPr>
          <w:szCs w:val="26"/>
        </w:rPr>
        <w:t xml:space="preserve">værdier for </w:t>
      </w:r>
      <w:proofErr w:type="spellStart"/>
      <w:r w:rsidRPr="00123121">
        <w:rPr>
          <w:szCs w:val="26"/>
        </w:rPr>
        <w:t>gydebiomasse</w:t>
      </w:r>
      <w:proofErr w:type="spellEnd"/>
      <w:r>
        <w:rPr>
          <w:szCs w:val="26"/>
        </w:rPr>
        <w:t>, SSB,</w:t>
      </w:r>
      <w:r w:rsidRPr="00123121">
        <w:rPr>
          <w:szCs w:val="26"/>
        </w:rPr>
        <w:t xml:space="preserve"> for de relevante arter. </w:t>
      </w:r>
      <w:r>
        <w:rPr>
          <w:szCs w:val="26"/>
        </w:rPr>
        <w:t>V</w:t>
      </w:r>
      <w:r w:rsidRPr="00123121">
        <w:rPr>
          <w:szCs w:val="26"/>
        </w:rPr>
        <w:t>ærdier</w:t>
      </w:r>
      <w:r>
        <w:rPr>
          <w:szCs w:val="26"/>
        </w:rPr>
        <w:t>ne</w:t>
      </w:r>
      <w:r w:rsidRPr="00123121">
        <w:rPr>
          <w:szCs w:val="26"/>
        </w:rPr>
        <w:t xml:space="preserve"> er bestemmende for fastsættelse af fiskerimuligheder. </w:t>
      </w:r>
      <w:r>
        <w:rPr>
          <w:szCs w:val="26"/>
        </w:rPr>
        <w:t>Dog anvender ICES ikke planen for sild i vestlig Østersø, fordi Norge, som har andel i fiskeriet på denne bestand i Skagerrak, ikke har godkendt planen.</w:t>
      </w:r>
    </w:p>
    <w:p w:rsidR="00867898" w:rsidRPr="00123121" w:rsidRDefault="00867898" w:rsidP="00867898">
      <w:pPr>
        <w:tabs>
          <w:tab w:val="left" w:pos="2410"/>
        </w:tabs>
        <w:outlineLvl w:val="0"/>
        <w:rPr>
          <w:szCs w:val="26"/>
        </w:rPr>
      </w:pPr>
    </w:p>
    <w:p w:rsidR="00867898" w:rsidRPr="00AC6760" w:rsidRDefault="00867898" w:rsidP="00867898">
      <w:pPr>
        <w:tabs>
          <w:tab w:val="left" w:pos="2410"/>
        </w:tabs>
        <w:ind w:left="284"/>
        <w:outlineLvl w:val="0"/>
        <w:rPr>
          <w:i/>
          <w:szCs w:val="26"/>
        </w:rPr>
      </w:pPr>
      <w:r w:rsidRPr="00AC6760">
        <w:rPr>
          <w:i/>
          <w:szCs w:val="26"/>
        </w:rPr>
        <w:t>Nedenfor er angivet en samlet oversigt over Kommissionens forslag til fiskerimuligheder for 2021 for de vigtigste bestande for Danmark sammenlignet med kvoten for 2020.</w:t>
      </w:r>
    </w:p>
    <w:p w:rsidR="00867898" w:rsidRDefault="00867898" w:rsidP="00867898">
      <w:pPr>
        <w:rPr>
          <w:szCs w:val="26"/>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3326"/>
        <w:gridCol w:w="1077"/>
        <w:gridCol w:w="1687"/>
        <w:gridCol w:w="1089"/>
      </w:tblGrid>
      <w:tr w:rsidR="00867898" w:rsidRPr="00123121" w:rsidTr="000F140A">
        <w:trPr>
          <w:tblHeader/>
          <w:jc w:val="center"/>
        </w:trPr>
        <w:tc>
          <w:tcPr>
            <w:tcW w:w="1321" w:type="dxa"/>
          </w:tcPr>
          <w:p w:rsidR="00867898" w:rsidRPr="00F04957" w:rsidRDefault="00867898" w:rsidP="000F140A">
            <w:pPr>
              <w:outlineLvl w:val="0"/>
              <w:rPr>
                <w:b/>
                <w:i/>
              </w:rPr>
            </w:pPr>
            <w:r>
              <w:rPr>
                <w:b/>
                <w:i/>
              </w:rPr>
              <w:t>Art (O</w:t>
            </w:r>
            <w:r>
              <w:rPr>
                <w:b/>
                <w:i/>
              </w:rPr>
              <w:t>m</w:t>
            </w:r>
            <w:r>
              <w:rPr>
                <w:b/>
                <w:i/>
              </w:rPr>
              <w:t>råde)</w:t>
            </w:r>
          </w:p>
        </w:tc>
        <w:tc>
          <w:tcPr>
            <w:tcW w:w="3326" w:type="dxa"/>
          </w:tcPr>
          <w:p w:rsidR="00867898" w:rsidRPr="00F04957" w:rsidRDefault="00867898" w:rsidP="000F140A">
            <w:pPr>
              <w:outlineLvl w:val="0"/>
              <w:rPr>
                <w:b/>
                <w:i/>
              </w:rPr>
            </w:pPr>
            <w:r>
              <w:rPr>
                <w:b/>
                <w:i/>
              </w:rPr>
              <w:t>Rådgivning for 2021</w:t>
            </w:r>
          </w:p>
        </w:tc>
        <w:tc>
          <w:tcPr>
            <w:tcW w:w="1077" w:type="dxa"/>
          </w:tcPr>
          <w:p w:rsidR="00867898" w:rsidRDefault="00867898" w:rsidP="000F140A">
            <w:pPr>
              <w:pStyle w:val="Listeafsnit"/>
              <w:spacing w:line="240" w:lineRule="auto"/>
              <w:ind w:left="0"/>
              <w:outlineLvl w:val="0"/>
              <w:rPr>
                <w:rFonts w:ascii="Garamond" w:hAnsi="Garamond"/>
                <w:b/>
                <w:i/>
              </w:rPr>
            </w:pPr>
            <w:r>
              <w:rPr>
                <w:rFonts w:ascii="Garamond" w:hAnsi="Garamond"/>
                <w:b/>
                <w:i/>
              </w:rPr>
              <w:t xml:space="preserve">TAC 2020 i tons </w:t>
            </w:r>
          </w:p>
          <w:p w:rsidR="00867898" w:rsidRDefault="00867898" w:rsidP="000F140A">
            <w:pPr>
              <w:pStyle w:val="Listeafsnit"/>
              <w:spacing w:line="240" w:lineRule="auto"/>
              <w:ind w:left="0"/>
              <w:outlineLvl w:val="0"/>
              <w:rPr>
                <w:rFonts w:ascii="Garamond" w:hAnsi="Garamond"/>
                <w:b/>
                <w:i/>
              </w:rPr>
            </w:pPr>
            <w:proofErr w:type="gramStart"/>
            <w:r>
              <w:rPr>
                <w:rFonts w:ascii="Garamond" w:hAnsi="Garamond"/>
                <w:b/>
                <w:i/>
              </w:rPr>
              <w:t>laks i styk.</w:t>
            </w:r>
            <w:proofErr w:type="gramEnd"/>
          </w:p>
          <w:p w:rsidR="00867898" w:rsidRPr="00F04957" w:rsidRDefault="00867898" w:rsidP="000F140A">
            <w:pPr>
              <w:pStyle w:val="Listeafsnit"/>
              <w:ind w:left="0"/>
              <w:outlineLvl w:val="0"/>
              <w:rPr>
                <w:rFonts w:ascii="Garamond" w:hAnsi="Garamond"/>
                <w:b/>
                <w:i/>
              </w:rPr>
            </w:pPr>
          </w:p>
        </w:tc>
        <w:tc>
          <w:tcPr>
            <w:tcW w:w="1687" w:type="dxa"/>
          </w:tcPr>
          <w:p w:rsidR="00867898" w:rsidRPr="00F04957" w:rsidRDefault="00867898" w:rsidP="000F140A">
            <w:pPr>
              <w:pStyle w:val="Listeafsnit"/>
              <w:spacing w:line="240" w:lineRule="auto"/>
              <w:ind w:left="0"/>
              <w:outlineLvl w:val="0"/>
              <w:rPr>
                <w:rFonts w:ascii="Garamond" w:hAnsi="Garamond"/>
                <w:b/>
                <w:i/>
              </w:rPr>
            </w:pPr>
            <w:r>
              <w:rPr>
                <w:rFonts w:ascii="Garamond" w:hAnsi="Garamond"/>
                <w:b/>
                <w:i/>
              </w:rPr>
              <w:t>Kommissionens forslag 2021 i tons, laks i styk samt ændring i forhold til 2020</w:t>
            </w:r>
          </w:p>
        </w:tc>
        <w:tc>
          <w:tcPr>
            <w:tcW w:w="1089" w:type="dxa"/>
          </w:tcPr>
          <w:p w:rsidR="00867898" w:rsidRPr="00C563BD" w:rsidRDefault="00867898" w:rsidP="000F140A">
            <w:pPr>
              <w:pStyle w:val="Listeafsnit"/>
              <w:spacing w:line="240" w:lineRule="auto"/>
              <w:ind w:left="0"/>
              <w:outlineLvl w:val="0"/>
              <w:rPr>
                <w:rFonts w:ascii="Garamond" w:hAnsi="Garamond"/>
                <w:b/>
                <w:i/>
              </w:rPr>
            </w:pPr>
            <w:r>
              <w:rPr>
                <w:rFonts w:ascii="Garamond" w:hAnsi="Garamond"/>
                <w:b/>
                <w:i/>
              </w:rPr>
              <w:t>DK andel af EU TAC (%)</w:t>
            </w:r>
          </w:p>
        </w:tc>
      </w:tr>
      <w:tr w:rsidR="00867898" w:rsidRPr="00123121" w:rsidTr="000F140A">
        <w:trPr>
          <w:jc w:val="center"/>
        </w:trPr>
        <w:tc>
          <w:tcPr>
            <w:tcW w:w="1321" w:type="dxa"/>
          </w:tcPr>
          <w:p w:rsidR="00867898" w:rsidRPr="00123121" w:rsidRDefault="00867898" w:rsidP="000F140A">
            <w:pPr>
              <w:outlineLvl w:val="0"/>
              <w:rPr>
                <w:b/>
                <w:i/>
              </w:rPr>
            </w:pPr>
            <w:r w:rsidRPr="00123121">
              <w:rPr>
                <w:b/>
                <w:i/>
              </w:rPr>
              <w:t xml:space="preserve">Sild i den </w:t>
            </w:r>
          </w:p>
          <w:p w:rsidR="00867898" w:rsidRPr="00123121" w:rsidRDefault="00867898" w:rsidP="000F140A">
            <w:pPr>
              <w:outlineLvl w:val="0"/>
              <w:rPr>
                <w:b/>
                <w:i/>
              </w:rPr>
            </w:pPr>
            <w:r w:rsidRPr="00123121">
              <w:rPr>
                <w:b/>
                <w:i/>
              </w:rPr>
              <w:t xml:space="preserve">vestlige </w:t>
            </w:r>
          </w:p>
          <w:p w:rsidR="00867898" w:rsidRPr="00123121" w:rsidRDefault="00867898" w:rsidP="000F140A">
            <w:pPr>
              <w:outlineLvl w:val="0"/>
              <w:rPr>
                <w:b/>
                <w:i/>
              </w:rPr>
            </w:pPr>
            <w:r w:rsidRPr="00123121">
              <w:rPr>
                <w:b/>
                <w:i/>
              </w:rPr>
              <w:t>Østersø (22-24)</w:t>
            </w:r>
          </w:p>
        </w:tc>
        <w:tc>
          <w:tcPr>
            <w:tcW w:w="3326" w:type="dxa"/>
          </w:tcPr>
          <w:p w:rsidR="00867898" w:rsidRPr="009573B2" w:rsidRDefault="00867898" w:rsidP="000F140A">
            <w:pPr>
              <w:outlineLvl w:val="0"/>
              <w:rPr>
                <w:rFonts w:ascii="Garamond" w:hAnsi="Garamond"/>
              </w:rPr>
            </w:pPr>
            <w:r w:rsidRPr="00A97EF2">
              <w:rPr>
                <w:rFonts w:ascii="Garamond" w:hAnsi="Garamond"/>
                <w:u w:val="single"/>
              </w:rPr>
              <w:t xml:space="preserve">Anbefalingen på baggrund af MSY er en </w:t>
            </w:r>
            <w:proofErr w:type="spellStart"/>
            <w:r w:rsidRPr="00A97EF2">
              <w:rPr>
                <w:rFonts w:ascii="Garamond" w:hAnsi="Garamond"/>
                <w:u w:val="single"/>
              </w:rPr>
              <w:t>nul-kvote</w:t>
            </w:r>
            <w:proofErr w:type="spellEnd"/>
            <w:r w:rsidRPr="00A97EF2">
              <w:rPr>
                <w:rFonts w:ascii="Garamond" w:hAnsi="Garamond"/>
                <w:u w:val="single"/>
              </w:rPr>
              <w:t>.</w:t>
            </w:r>
            <w:r w:rsidRPr="009573B2">
              <w:rPr>
                <w:rFonts w:ascii="Garamond" w:hAnsi="Garamond"/>
              </w:rPr>
              <w:t xml:space="preserve"> </w:t>
            </w:r>
            <w:r>
              <w:rPr>
                <w:rFonts w:ascii="Garamond" w:hAnsi="Garamond"/>
              </w:rPr>
              <w:t xml:space="preserve">Bestanden </w:t>
            </w:r>
            <w:r w:rsidRPr="009573B2">
              <w:rPr>
                <w:rFonts w:ascii="Garamond" w:hAnsi="Garamond"/>
              </w:rPr>
              <w:t>deles mellem Skagerrak/Kattegat og område 22-24 med 50 % til hver</w:t>
            </w:r>
            <w:r>
              <w:rPr>
                <w:rFonts w:ascii="Garamond" w:hAnsi="Garamond"/>
              </w:rPr>
              <w:t>t</w:t>
            </w:r>
            <w:r w:rsidRPr="009573B2">
              <w:rPr>
                <w:rFonts w:ascii="Garamond" w:hAnsi="Garamond"/>
              </w:rPr>
              <w:t xml:space="preserve"> af de to områder</w:t>
            </w:r>
            <w:r>
              <w:rPr>
                <w:rFonts w:ascii="Garamond" w:hAnsi="Garamond"/>
              </w:rPr>
              <w:t>.</w:t>
            </w:r>
            <w:r w:rsidRPr="009573B2">
              <w:rPr>
                <w:rFonts w:ascii="Garamond" w:hAnsi="Garamond"/>
              </w:rPr>
              <w:t xml:space="preserve"> </w:t>
            </w:r>
            <w:proofErr w:type="spellStart"/>
            <w:r w:rsidRPr="009573B2">
              <w:rPr>
                <w:rFonts w:ascii="Garamond" w:hAnsi="Garamond"/>
              </w:rPr>
              <w:t>Gydebiomassen</w:t>
            </w:r>
            <w:proofErr w:type="spellEnd"/>
            <w:r w:rsidRPr="009573B2">
              <w:rPr>
                <w:rFonts w:ascii="Garamond" w:hAnsi="Garamond"/>
              </w:rPr>
              <w:t xml:space="preserve"> </w:t>
            </w:r>
            <w:r>
              <w:rPr>
                <w:rFonts w:ascii="Garamond" w:hAnsi="Garamond"/>
              </w:rPr>
              <w:t>ligger under græns</w:t>
            </w:r>
            <w:r>
              <w:rPr>
                <w:rFonts w:ascii="Garamond" w:hAnsi="Garamond"/>
              </w:rPr>
              <w:t>e</w:t>
            </w:r>
            <w:r>
              <w:rPr>
                <w:rFonts w:ascii="Garamond" w:hAnsi="Garamond"/>
              </w:rPr>
              <w:t xml:space="preserve">værdien, </w:t>
            </w:r>
            <w:proofErr w:type="spellStart"/>
            <w:r>
              <w:rPr>
                <w:rFonts w:ascii="Garamond" w:hAnsi="Garamond"/>
              </w:rPr>
              <w:t>B</w:t>
            </w:r>
            <w:r w:rsidRPr="00CC08B3">
              <w:rPr>
                <w:rFonts w:ascii="Garamond" w:hAnsi="Garamond"/>
                <w:vertAlign w:val="subscript"/>
              </w:rPr>
              <w:t>lim</w:t>
            </w:r>
            <w:proofErr w:type="spellEnd"/>
            <w:r>
              <w:rPr>
                <w:rFonts w:ascii="Garamond" w:hAnsi="Garamond"/>
              </w:rPr>
              <w:t>, og fiskeridødeligheden (F) er fortsat</w:t>
            </w:r>
            <w:r w:rsidRPr="009573B2">
              <w:rPr>
                <w:rFonts w:ascii="Garamond" w:hAnsi="Garamond"/>
              </w:rPr>
              <w:t xml:space="preserve"> højere end F</w:t>
            </w:r>
            <w:r w:rsidRPr="009573B2">
              <w:rPr>
                <w:rFonts w:ascii="Garamond" w:hAnsi="Garamond"/>
                <w:vertAlign w:val="subscript"/>
              </w:rPr>
              <w:t>MSY</w:t>
            </w:r>
            <w:r w:rsidRPr="009573B2">
              <w:rPr>
                <w:rFonts w:ascii="Garamond" w:hAnsi="Garamond"/>
              </w:rPr>
              <w:t>, 0,31</w:t>
            </w:r>
            <w:r>
              <w:rPr>
                <w:rFonts w:ascii="Garamond" w:hAnsi="Garamond"/>
              </w:rPr>
              <w:t>.</w:t>
            </w:r>
          </w:p>
        </w:tc>
        <w:tc>
          <w:tcPr>
            <w:tcW w:w="1077" w:type="dxa"/>
          </w:tcPr>
          <w:p w:rsidR="00867898" w:rsidRPr="00123121" w:rsidDel="008B4FB5" w:rsidRDefault="00867898" w:rsidP="000F140A">
            <w:pPr>
              <w:pStyle w:val="Listeafsnit"/>
              <w:ind w:left="0"/>
              <w:outlineLvl w:val="0"/>
              <w:rPr>
                <w:rFonts w:ascii="Garamond" w:hAnsi="Garamond"/>
              </w:rPr>
            </w:pPr>
            <w:r>
              <w:rPr>
                <w:rFonts w:ascii="Garamond" w:hAnsi="Garamond"/>
              </w:rPr>
              <w:t>3 150</w:t>
            </w:r>
          </w:p>
        </w:tc>
        <w:tc>
          <w:tcPr>
            <w:tcW w:w="1687" w:type="dxa"/>
          </w:tcPr>
          <w:p w:rsidR="00867898" w:rsidRPr="0082708F" w:rsidDel="008B4FB5" w:rsidRDefault="00867898" w:rsidP="000F140A">
            <w:pPr>
              <w:pStyle w:val="Listeafsnit"/>
              <w:ind w:left="0"/>
              <w:outlineLvl w:val="0"/>
              <w:rPr>
                <w:rFonts w:ascii="Garamond" w:hAnsi="Garamond"/>
              </w:rPr>
            </w:pPr>
            <w:r>
              <w:rPr>
                <w:rFonts w:ascii="Garamond" w:hAnsi="Garamond"/>
              </w:rPr>
              <w:t>1 575 (-50 %)</w:t>
            </w:r>
          </w:p>
        </w:tc>
        <w:tc>
          <w:tcPr>
            <w:tcW w:w="1089" w:type="dxa"/>
          </w:tcPr>
          <w:p w:rsidR="00867898" w:rsidRPr="00160EE5" w:rsidDel="008B4FB5" w:rsidRDefault="00867898" w:rsidP="000F140A">
            <w:pPr>
              <w:pStyle w:val="Listeafsnit"/>
              <w:ind w:left="0"/>
              <w:outlineLvl w:val="0"/>
              <w:rPr>
                <w:rFonts w:ascii="Garamond" w:hAnsi="Garamond"/>
                <w:highlight w:val="yellow"/>
              </w:rPr>
            </w:pPr>
            <w:r w:rsidRPr="00C5358B">
              <w:rPr>
                <w:rFonts w:ascii="Garamond" w:hAnsi="Garamond"/>
              </w:rPr>
              <w:t>(14 %)</w:t>
            </w:r>
          </w:p>
        </w:tc>
      </w:tr>
      <w:tr w:rsidR="00867898" w:rsidRPr="00123121" w:rsidTr="000F140A">
        <w:trPr>
          <w:jc w:val="center"/>
        </w:trPr>
        <w:tc>
          <w:tcPr>
            <w:tcW w:w="1321" w:type="dxa"/>
          </w:tcPr>
          <w:p w:rsidR="00867898" w:rsidRPr="00123121" w:rsidRDefault="00867898" w:rsidP="000F140A">
            <w:pPr>
              <w:outlineLvl w:val="0"/>
              <w:rPr>
                <w:b/>
                <w:i/>
              </w:rPr>
            </w:pPr>
            <w:r w:rsidRPr="00123121">
              <w:rPr>
                <w:b/>
                <w:i/>
              </w:rPr>
              <w:t xml:space="preserve">Sild i den </w:t>
            </w:r>
          </w:p>
          <w:p w:rsidR="00867898" w:rsidRPr="00123121" w:rsidRDefault="00867898" w:rsidP="000F140A">
            <w:pPr>
              <w:outlineLvl w:val="0"/>
              <w:rPr>
                <w:b/>
                <w:i/>
              </w:rPr>
            </w:pPr>
            <w:r w:rsidRPr="00123121">
              <w:rPr>
                <w:b/>
                <w:i/>
              </w:rPr>
              <w:t>centrale Østersø (25-27, 28.2, 29 og 32)</w:t>
            </w:r>
          </w:p>
        </w:tc>
        <w:tc>
          <w:tcPr>
            <w:tcW w:w="3326" w:type="dxa"/>
          </w:tcPr>
          <w:p w:rsidR="00867898" w:rsidRPr="003D1D3E" w:rsidRDefault="00867898" w:rsidP="000F140A">
            <w:pPr>
              <w:pStyle w:val="Default"/>
              <w:rPr>
                <w:rFonts w:ascii="Garamond" w:hAnsi="Garamond"/>
                <w:sz w:val="20"/>
              </w:rPr>
            </w:pPr>
            <w:r w:rsidRPr="00E413F4">
              <w:rPr>
                <w:rFonts w:ascii="Garamond" w:hAnsi="Garamond"/>
                <w:color w:val="auto"/>
                <w:sz w:val="20"/>
                <w:u w:val="single"/>
              </w:rPr>
              <w:t>Anbefalingen på baggrund af den fle</w:t>
            </w:r>
            <w:r w:rsidRPr="00E413F4">
              <w:rPr>
                <w:rFonts w:ascii="Garamond" w:hAnsi="Garamond"/>
                <w:color w:val="auto"/>
                <w:sz w:val="20"/>
                <w:u w:val="single"/>
              </w:rPr>
              <w:t>r</w:t>
            </w:r>
            <w:r w:rsidRPr="00E413F4">
              <w:rPr>
                <w:rFonts w:ascii="Garamond" w:hAnsi="Garamond"/>
                <w:color w:val="auto"/>
                <w:sz w:val="20"/>
                <w:u w:val="single"/>
              </w:rPr>
              <w:t>årige forvaltningsplan er en fangst me</w:t>
            </w:r>
            <w:r w:rsidRPr="00E413F4">
              <w:rPr>
                <w:rFonts w:ascii="Garamond" w:hAnsi="Garamond"/>
                <w:color w:val="auto"/>
                <w:sz w:val="20"/>
                <w:u w:val="single"/>
              </w:rPr>
              <w:t>l</w:t>
            </w:r>
            <w:r w:rsidRPr="00E413F4">
              <w:rPr>
                <w:rFonts w:ascii="Garamond" w:hAnsi="Garamond"/>
                <w:color w:val="auto"/>
                <w:sz w:val="20"/>
                <w:u w:val="single"/>
              </w:rPr>
              <w:t>lem 83 971 og 138 183 tons, som også omfatter andelen til Rusland</w:t>
            </w:r>
            <w:r w:rsidRPr="00435AEE">
              <w:rPr>
                <w:rFonts w:ascii="Garamond" w:hAnsi="Garamond"/>
                <w:color w:val="auto"/>
                <w:sz w:val="20"/>
              </w:rPr>
              <w:t>,</w:t>
            </w:r>
            <w:r w:rsidRPr="00D2508E">
              <w:rPr>
                <w:rFonts w:ascii="Garamond" w:hAnsi="Garamond"/>
                <w:color w:val="auto"/>
                <w:sz w:val="20"/>
              </w:rPr>
              <w:t xml:space="preserve"> </w:t>
            </w:r>
            <w:r>
              <w:rPr>
                <w:rFonts w:ascii="Garamond" w:hAnsi="Garamond"/>
                <w:color w:val="auto"/>
                <w:sz w:val="20"/>
              </w:rPr>
              <w:t xml:space="preserve">som er fratrukket i forslaget fra KOM. </w:t>
            </w:r>
            <w:r w:rsidRPr="00D17351">
              <w:rPr>
                <w:rFonts w:ascii="Garamond" w:hAnsi="Garamond"/>
                <w:sz w:val="20"/>
                <w:szCs w:val="20"/>
              </w:rPr>
              <w:t>Fan</w:t>
            </w:r>
            <w:r w:rsidRPr="00D17351">
              <w:rPr>
                <w:rFonts w:ascii="Garamond" w:hAnsi="Garamond"/>
                <w:sz w:val="20"/>
                <w:szCs w:val="20"/>
              </w:rPr>
              <w:t>g</w:t>
            </w:r>
            <w:r w:rsidRPr="00D17351">
              <w:rPr>
                <w:rFonts w:ascii="Garamond" w:hAnsi="Garamond"/>
                <w:sz w:val="20"/>
                <w:szCs w:val="20"/>
              </w:rPr>
              <w:t xml:space="preserve">ster på mere end </w:t>
            </w:r>
            <w:r>
              <w:rPr>
                <w:rFonts w:ascii="Garamond" w:hAnsi="Garamond"/>
                <w:sz w:val="20"/>
                <w:szCs w:val="20"/>
              </w:rPr>
              <w:t>111.852</w:t>
            </w:r>
            <w:r w:rsidRPr="00D17351">
              <w:rPr>
                <w:rFonts w:ascii="Garamond" w:hAnsi="Garamond"/>
                <w:sz w:val="20"/>
                <w:szCs w:val="20"/>
              </w:rPr>
              <w:t xml:space="preserve"> tons </w:t>
            </w:r>
            <w:r>
              <w:rPr>
                <w:rFonts w:ascii="Garamond" w:hAnsi="Garamond"/>
                <w:color w:val="auto"/>
                <w:sz w:val="20"/>
              </w:rPr>
              <w:t>(F</w:t>
            </w:r>
            <w:r w:rsidRPr="00E10670">
              <w:rPr>
                <w:rFonts w:ascii="Garamond" w:hAnsi="Garamond"/>
                <w:color w:val="auto"/>
                <w:sz w:val="20"/>
                <w:vertAlign w:val="subscript"/>
              </w:rPr>
              <w:t>MSY</w:t>
            </w:r>
            <w:r>
              <w:rPr>
                <w:rFonts w:ascii="Garamond" w:hAnsi="Garamond"/>
                <w:color w:val="auto"/>
                <w:sz w:val="20"/>
              </w:rPr>
              <w:t xml:space="preserve">) </w:t>
            </w:r>
            <w:r w:rsidRPr="00D17351">
              <w:rPr>
                <w:rFonts w:ascii="Garamond" w:hAnsi="Garamond"/>
                <w:sz w:val="20"/>
                <w:szCs w:val="20"/>
              </w:rPr>
              <w:t>forudsætter opfyldelse af særlige betin</w:t>
            </w:r>
            <w:r w:rsidRPr="00D17351">
              <w:rPr>
                <w:rFonts w:ascii="Garamond" w:hAnsi="Garamond"/>
                <w:sz w:val="20"/>
                <w:szCs w:val="20"/>
              </w:rPr>
              <w:softHyphen/>
              <w:t>gelser.</w:t>
            </w:r>
            <w:r>
              <w:rPr>
                <w:rFonts w:ascii="Garamond" w:hAnsi="Garamond"/>
                <w:sz w:val="20"/>
                <w:szCs w:val="20"/>
              </w:rPr>
              <w:t xml:space="preserve"> </w:t>
            </w:r>
            <w:proofErr w:type="spellStart"/>
            <w:r>
              <w:rPr>
                <w:rFonts w:ascii="Garamond" w:hAnsi="Garamond"/>
                <w:color w:val="auto"/>
                <w:sz w:val="20"/>
              </w:rPr>
              <w:t>Gydebiomassen</w:t>
            </w:r>
            <w:proofErr w:type="spellEnd"/>
            <w:r>
              <w:rPr>
                <w:rFonts w:ascii="Garamond" w:hAnsi="Garamond"/>
                <w:color w:val="auto"/>
                <w:sz w:val="20"/>
              </w:rPr>
              <w:t xml:space="preserve"> ligger over </w:t>
            </w:r>
            <w:proofErr w:type="spellStart"/>
            <w:r>
              <w:rPr>
                <w:rFonts w:ascii="Garamond" w:hAnsi="Garamond"/>
                <w:color w:val="auto"/>
                <w:sz w:val="20"/>
              </w:rPr>
              <w:t>MSY-niveauet</w:t>
            </w:r>
            <w:proofErr w:type="spellEnd"/>
            <w:r>
              <w:rPr>
                <w:rFonts w:ascii="Garamond" w:hAnsi="Garamond"/>
                <w:color w:val="auto"/>
                <w:sz w:val="20"/>
              </w:rPr>
              <w:t xml:space="preserve">, </w:t>
            </w:r>
            <w:proofErr w:type="spellStart"/>
            <w:r>
              <w:rPr>
                <w:rFonts w:ascii="Garamond" w:hAnsi="Garamond"/>
                <w:color w:val="auto"/>
                <w:sz w:val="20"/>
              </w:rPr>
              <w:t>MSY</w:t>
            </w:r>
            <w:r w:rsidRPr="00435AEE">
              <w:rPr>
                <w:rFonts w:ascii="Garamond" w:hAnsi="Garamond"/>
                <w:color w:val="auto"/>
                <w:sz w:val="20"/>
                <w:vertAlign w:val="subscript"/>
              </w:rPr>
              <w:t>Btrigger</w:t>
            </w:r>
            <w:r>
              <w:rPr>
                <w:rFonts w:ascii="Garamond" w:hAnsi="Garamond"/>
                <w:color w:val="auto"/>
                <w:sz w:val="20"/>
              </w:rPr>
              <w:t>-niveau</w:t>
            </w:r>
            <w:proofErr w:type="spellEnd"/>
            <w:r>
              <w:rPr>
                <w:rFonts w:ascii="Garamond" w:hAnsi="Garamond"/>
                <w:color w:val="auto"/>
                <w:sz w:val="20"/>
              </w:rPr>
              <w:t>, mens fiskeridødeligheden på 0,43 ligger over F</w:t>
            </w:r>
            <w:r w:rsidRPr="00685892">
              <w:rPr>
                <w:rFonts w:ascii="Garamond" w:hAnsi="Garamond"/>
                <w:color w:val="auto"/>
                <w:sz w:val="20"/>
                <w:vertAlign w:val="subscript"/>
              </w:rPr>
              <w:t>MSY</w:t>
            </w:r>
            <w:r>
              <w:rPr>
                <w:rFonts w:ascii="Garamond" w:hAnsi="Garamond"/>
                <w:color w:val="auto"/>
                <w:sz w:val="20"/>
                <w:vertAlign w:val="subscript"/>
              </w:rPr>
              <w:t xml:space="preserve"> </w:t>
            </w:r>
            <w:r>
              <w:rPr>
                <w:rFonts w:ascii="Garamond" w:hAnsi="Garamond"/>
                <w:color w:val="auto"/>
                <w:sz w:val="20"/>
              </w:rPr>
              <w:t>på 0,21. Bestanden er delvist v</w:t>
            </w:r>
            <w:r>
              <w:rPr>
                <w:rFonts w:ascii="Garamond" w:hAnsi="Garamond"/>
                <w:color w:val="auto"/>
                <w:sz w:val="20"/>
              </w:rPr>
              <w:t>i</w:t>
            </w:r>
            <w:r>
              <w:rPr>
                <w:rFonts w:ascii="Garamond" w:hAnsi="Garamond"/>
                <w:color w:val="auto"/>
                <w:sz w:val="20"/>
              </w:rPr>
              <w:t xml:space="preserve">denskabeligt vurderet med det resultat, at referenceværdier for </w:t>
            </w:r>
            <w:proofErr w:type="spellStart"/>
            <w:r>
              <w:rPr>
                <w:rFonts w:ascii="Garamond" w:hAnsi="Garamond"/>
                <w:color w:val="auto"/>
                <w:sz w:val="20"/>
              </w:rPr>
              <w:t>gydebiomassen</w:t>
            </w:r>
            <w:proofErr w:type="spellEnd"/>
            <w:r>
              <w:rPr>
                <w:rFonts w:ascii="Garamond" w:hAnsi="Garamond"/>
                <w:color w:val="auto"/>
                <w:sz w:val="20"/>
              </w:rPr>
              <w:t>, SSB, er nedjusteret og fiskeridødeligh</w:t>
            </w:r>
            <w:r>
              <w:rPr>
                <w:rFonts w:ascii="Garamond" w:hAnsi="Garamond"/>
                <w:color w:val="auto"/>
                <w:sz w:val="20"/>
              </w:rPr>
              <w:t>e</w:t>
            </w:r>
            <w:r>
              <w:rPr>
                <w:rFonts w:ascii="Garamond" w:hAnsi="Garamond"/>
                <w:color w:val="auto"/>
                <w:sz w:val="20"/>
              </w:rPr>
              <w:t xml:space="preserve">den, F, er opjusteret. </w:t>
            </w:r>
          </w:p>
        </w:tc>
        <w:tc>
          <w:tcPr>
            <w:tcW w:w="1077" w:type="dxa"/>
          </w:tcPr>
          <w:p w:rsidR="00867898" w:rsidRPr="005A457B" w:rsidRDefault="00867898" w:rsidP="000F140A">
            <w:pPr>
              <w:pStyle w:val="Listeafsnit"/>
              <w:ind w:left="0"/>
              <w:outlineLvl w:val="0"/>
              <w:rPr>
                <w:rFonts w:ascii="Garamond" w:hAnsi="Garamond"/>
              </w:rPr>
            </w:pPr>
            <w:r>
              <w:rPr>
                <w:rFonts w:ascii="Garamond" w:hAnsi="Garamond"/>
              </w:rPr>
              <w:t>153 384</w:t>
            </w:r>
          </w:p>
        </w:tc>
        <w:tc>
          <w:tcPr>
            <w:tcW w:w="1687" w:type="dxa"/>
          </w:tcPr>
          <w:p w:rsidR="00867898" w:rsidRPr="0082708F" w:rsidRDefault="00867898" w:rsidP="000F140A">
            <w:pPr>
              <w:pStyle w:val="Listeafsnit"/>
              <w:ind w:left="0"/>
              <w:outlineLvl w:val="0"/>
              <w:rPr>
                <w:rFonts w:ascii="Garamond" w:hAnsi="Garamond"/>
              </w:rPr>
            </w:pPr>
            <w:r>
              <w:rPr>
                <w:rFonts w:ascii="Garamond" w:hAnsi="Garamond"/>
              </w:rPr>
              <w:t>97 551 (-36 %)</w:t>
            </w:r>
          </w:p>
        </w:tc>
        <w:tc>
          <w:tcPr>
            <w:tcW w:w="1089" w:type="dxa"/>
          </w:tcPr>
          <w:p w:rsidR="00867898" w:rsidRPr="00C01C99" w:rsidRDefault="00867898" w:rsidP="000F140A">
            <w:pPr>
              <w:pStyle w:val="Listeafsnit"/>
              <w:ind w:left="0"/>
              <w:outlineLvl w:val="0"/>
              <w:rPr>
                <w:rFonts w:ascii="Garamond" w:hAnsi="Garamond"/>
              </w:rPr>
            </w:pPr>
            <w:r>
              <w:rPr>
                <w:rFonts w:ascii="Garamond" w:hAnsi="Garamond"/>
              </w:rPr>
              <w:t>(2,</w:t>
            </w:r>
            <w:proofErr w:type="gramStart"/>
            <w:r>
              <w:rPr>
                <w:rFonts w:ascii="Garamond" w:hAnsi="Garamond"/>
              </w:rPr>
              <w:t>2</w:t>
            </w:r>
            <w:r w:rsidRPr="00C01C99">
              <w:rPr>
                <w:rFonts w:ascii="Garamond" w:hAnsi="Garamond"/>
              </w:rPr>
              <w:t>%</w:t>
            </w:r>
            <w:proofErr w:type="gramEnd"/>
            <w:r w:rsidRPr="00C01C99">
              <w:rPr>
                <w:rFonts w:ascii="Garamond" w:hAnsi="Garamond"/>
              </w:rPr>
              <w:t>)</w:t>
            </w:r>
          </w:p>
        </w:tc>
      </w:tr>
      <w:tr w:rsidR="00867898" w:rsidRPr="00123121" w:rsidTr="000F140A">
        <w:trPr>
          <w:jc w:val="center"/>
        </w:trPr>
        <w:tc>
          <w:tcPr>
            <w:tcW w:w="1321" w:type="dxa"/>
          </w:tcPr>
          <w:p w:rsidR="00867898" w:rsidRDefault="00867898" w:rsidP="000F140A">
            <w:pPr>
              <w:outlineLvl w:val="0"/>
              <w:rPr>
                <w:b/>
                <w:i/>
              </w:rPr>
            </w:pPr>
            <w:r w:rsidRPr="00123121">
              <w:rPr>
                <w:b/>
                <w:i/>
              </w:rPr>
              <w:t>Torsk i den østl</w:t>
            </w:r>
            <w:r w:rsidRPr="00123121">
              <w:rPr>
                <w:b/>
                <w:i/>
              </w:rPr>
              <w:t>i</w:t>
            </w:r>
            <w:r w:rsidRPr="00123121">
              <w:rPr>
                <w:b/>
                <w:i/>
              </w:rPr>
              <w:t>ge Øs</w:t>
            </w:r>
            <w:r>
              <w:rPr>
                <w:b/>
                <w:i/>
              </w:rPr>
              <w:softHyphen/>
            </w:r>
            <w:r w:rsidRPr="00123121">
              <w:rPr>
                <w:b/>
                <w:i/>
              </w:rPr>
              <w:t>ter</w:t>
            </w:r>
            <w:r>
              <w:rPr>
                <w:b/>
                <w:i/>
              </w:rPr>
              <w:softHyphen/>
            </w:r>
            <w:r w:rsidRPr="00123121">
              <w:rPr>
                <w:b/>
                <w:i/>
              </w:rPr>
              <w:t xml:space="preserve">sø </w:t>
            </w:r>
          </w:p>
          <w:p w:rsidR="00867898" w:rsidRPr="00123121" w:rsidRDefault="00867898" w:rsidP="000F140A">
            <w:pPr>
              <w:outlineLvl w:val="0"/>
              <w:rPr>
                <w:b/>
                <w:i/>
              </w:rPr>
            </w:pPr>
            <w:r w:rsidRPr="00123121">
              <w:rPr>
                <w:b/>
                <w:i/>
              </w:rPr>
              <w:t>(25-32)</w:t>
            </w:r>
          </w:p>
        </w:tc>
        <w:tc>
          <w:tcPr>
            <w:tcW w:w="3326" w:type="dxa"/>
            <w:vAlign w:val="center"/>
          </w:tcPr>
          <w:p w:rsidR="00867898" w:rsidRPr="009573B2" w:rsidRDefault="00867898" w:rsidP="000F140A">
            <w:pPr>
              <w:outlineLvl w:val="0"/>
              <w:rPr>
                <w:rFonts w:ascii="Garamond" w:hAnsi="Garamond"/>
              </w:rPr>
            </w:pPr>
            <w:r w:rsidRPr="00E413F4">
              <w:rPr>
                <w:rFonts w:ascii="Garamond" w:hAnsi="Garamond"/>
                <w:u w:val="single"/>
              </w:rPr>
              <w:t>Anbefaling på baggrund af forsigti</w:t>
            </w:r>
            <w:r w:rsidRPr="00E413F4">
              <w:rPr>
                <w:rFonts w:ascii="Garamond" w:hAnsi="Garamond"/>
                <w:u w:val="single"/>
              </w:rPr>
              <w:t>g</w:t>
            </w:r>
            <w:r w:rsidRPr="00E413F4">
              <w:rPr>
                <w:rFonts w:ascii="Garamond" w:hAnsi="Garamond"/>
                <w:u w:val="single"/>
              </w:rPr>
              <w:t xml:space="preserve">hedsprincippet er en 0-fangst på </w:t>
            </w:r>
            <w:proofErr w:type="spellStart"/>
            <w:r w:rsidRPr="00E413F4">
              <w:rPr>
                <w:rFonts w:ascii="Garamond" w:hAnsi="Garamond"/>
                <w:i/>
                <w:u w:val="single"/>
              </w:rPr>
              <w:t>øs</w:t>
            </w:r>
            <w:r w:rsidRPr="00E413F4">
              <w:rPr>
                <w:rFonts w:ascii="Garamond" w:hAnsi="Garamond"/>
                <w:i/>
                <w:u w:val="single"/>
              </w:rPr>
              <w:t>t</w:t>
            </w:r>
            <w:r w:rsidRPr="00E413F4">
              <w:rPr>
                <w:rFonts w:ascii="Garamond" w:hAnsi="Garamond"/>
                <w:i/>
                <w:u w:val="single"/>
              </w:rPr>
              <w:t>bestanden</w:t>
            </w:r>
            <w:proofErr w:type="spellEnd"/>
            <w:r w:rsidRPr="009573B2">
              <w:rPr>
                <w:rFonts w:ascii="Garamond" w:hAnsi="Garamond"/>
                <w:i/>
              </w:rPr>
              <w:t xml:space="preserve"> </w:t>
            </w:r>
            <w:r w:rsidRPr="009573B2">
              <w:rPr>
                <w:rFonts w:ascii="Garamond" w:hAnsi="Garamond"/>
              </w:rPr>
              <w:t xml:space="preserve">inkl. </w:t>
            </w:r>
            <w:proofErr w:type="spellStart"/>
            <w:r w:rsidRPr="009573B2">
              <w:rPr>
                <w:rFonts w:ascii="Garamond" w:hAnsi="Garamond"/>
              </w:rPr>
              <w:t>østbestanden</w:t>
            </w:r>
            <w:proofErr w:type="spellEnd"/>
            <w:r w:rsidRPr="009573B2">
              <w:rPr>
                <w:rFonts w:ascii="Garamond" w:hAnsi="Garamond"/>
              </w:rPr>
              <w:t xml:space="preserve"> i område 24 og andelen til Rusland. </w:t>
            </w:r>
            <w:r>
              <w:rPr>
                <w:rFonts w:ascii="Garamond" w:hAnsi="Garamond"/>
              </w:rPr>
              <w:t>Fiskeridødeli</w:t>
            </w:r>
            <w:r>
              <w:rPr>
                <w:rFonts w:ascii="Garamond" w:hAnsi="Garamond"/>
              </w:rPr>
              <w:t>g</w:t>
            </w:r>
            <w:r>
              <w:rPr>
                <w:rFonts w:ascii="Garamond" w:hAnsi="Garamond"/>
              </w:rPr>
              <w:t xml:space="preserve">heden har været faldende siden 2011 og er for 2019 bestemt til 0,13 og samtidig har </w:t>
            </w:r>
            <w:proofErr w:type="spellStart"/>
            <w:r>
              <w:rPr>
                <w:rFonts w:ascii="Garamond" w:hAnsi="Garamond"/>
              </w:rPr>
              <w:t>gydebiomassen</w:t>
            </w:r>
            <w:proofErr w:type="spellEnd"/>
            <w:r>
              <w:rPr>
                <w:rFonts w:ascii="Garamond" w:hAnsi="Garamond"/>
              </w:rPr>
              <w:t xml:space="preserve"> været faldende, således at denne i 2020 var under græ</w:t>
            </w:r>
            <w:r>
              <w:rPr>
                <w:rFonts w:ascii="Garamond" w:hAnsi="Garamond"/>
              </w:rPr>
              <w:t>n</w:t>
            </w:r>
            <w:r>
              <w:rPr>
                <w:rFonts w:ascii="Garamond" w:hAnsi="Garamond"/>
              </w:rPr>
              <w:t xml:space="preserve">seværdien, </w:t>
            </w:r>
            <w:proofErr w:type="spellStart"/>
            <w:r>
              <w:rPr>
                <w:rFonts w:ascii="Garamond" w:hAnsi="Garamond"/>
              </w:rPr>
              <w:t>B</w:t>
            </w:r>
            <w:r>
              <w:rPr>
                <w:rFonts w:ascii="Garamond" w:hAnsi="Garamond"/>
                <w:vertAlign w:val="subscript"/>
              </w:rPr>
              <w:t>l</w:t>
            </w:r>
            <w:r w:rsidRPr="00767892">
              <w:rPr>
                <w:rFonts w:ascii="Garamond" w:hAnsi="Garamond"/>
                <w:vertAlign w:val="subscript"/>
              </w:rPr>
              <w:t>im</w:t>
            </w:r>
            <w:proofErr w:type="spellEnd"/>
            <w:r>
              <w:rPr>
                <w:rFonts w:ascii="Garamond" w:hAnsi="Garamond"/>
                <w:vertAlign w:val="subscript"/>
              </w:rPr>
              <w:t xml:space="preserve">. </w:t>
            </w:r>
            <w:r w:rsidRPr="009573B2">
              <w:rPr>
                <w:rFonts w:ascii="Garamond" w:hAnsi="Garamond"/>
              </w:rPr>
              <w:t>ICES vurder</w:t>
            </w:r>
            <w:r>
              <w:rPr>
                <w:rFonts w:ascii="Garamond" w:hAnsi="Garamond"/>
              </w:rPr>
              <w:t>er</w:t>
            </w:r>
            <w:r w:rsidRPr="009573B2">
              <w:rPr>
                <w:rFonts w:ascii="Garamond" w:hAnsi="Garamond"/>
              </w:rPr>
              <w:t>, at et 0-fiskeri ikke kan bringe bestanden over</w:t>
            </w:r>
            <w:r>
              <w:rPr>
                <w:rFonts w:ascii="Garamond" w:hAnsi="Garamond"/>
              </w:rPr>
              <w:t xml:space="preserve"> </w:t>
            </w:r>
            <w:proofErr w:type="spellStart"/>
            <w:r w:rsidRPr="009573B2">
              <w:rPr>
                <w:rFonts w:ascii="Garamond" w:hAnsi="Garamond"/>
              </w:rPr>
              <w:t>B</w:t>
            </w:r>
            <w:r w:rsidRPr="00D9703F">
              <w:rPr>
                <w:rFonts w:ascii="Garamond" w:hAnsi="Garamond"/>
                <w:vertAlign w:val="subscript"/>
              </w:rPr>
              <w:t>lim</w:t>
            </w:r>
            <w:proofErr w:type="spellEnd"/>
            <w:r>
              <w:rPr>
                <w:rFonts w:ascii="Garamond" w:hAnsi="Garamond"/>
                <w:vertAlign w:val="subscript"/>
              </w:rPr>
              <w:t xml:space="preserve"> </w:t>
            </w:r>
            <w:r>
              <w:rPr>
                <w:rFonts w:ascii="Garamond" w:hAnsi="Garamond"/>
              </w:rPr>
              <w:t>på 96 550 t</w:t>
            </w:r>
            <w:r w:rsidRPr="009573B2">
              <w:rPr>
                <w:rFonts w:ascii="Garamond" w:hAnsi="Garamond"/>
              </w:rPr>
              <w:t xml:space="preserve"> i 202</w:t>
            </w:r>
            <w:r>
              <w:rPr>
                <w:rFonts w:ascii="Garamond" w:hAnsi="Garamond"/>
              </w:rPr>
              <w:t>2</w:t>
            </w:r>
            <w:r w:rsidRPr="009573B2">
              <w:rPr>
                <w:rFonts w:ascii="Garamond" w:hAnsi="Garamond"/>
              </w:rPr>
              <w:t xml:space="preserve">. </w:t>
            </w:r>
            <w:r>
              <w:rPr>
                <w:rFonts w:ascii="Garamond" w:hAnsi="Garamond"/>
              </w:rPr>
              <w:t>D</w:t>
            </w:r>
            <w:r w:rsidRPr="009573B2">
              <w:rPr>
                <w:rFonts w:ascii="Garamond" w:hAnsi="Garamond"/>
              </w:rPr>
              <w:t>en naturlige dødelighed er i kraftig vækst.</w:t>
            </w:r>
            <w:r>
              <w:rPr>
                <w:rFonts w:ascii="Garamond" w:hAnsi="Garamond"/>
              </w:rPr>
              <w:t xml:space="preserve"> ICES a</w:t>
            </w:r>
            <w:r w:rsidRPr="009573B2">
              <w:rPr>
                <w:rFonts w:ascii="Garamond" w:hAnsi="Garamond"/>
              </w:rPr>
              <w:t>ngiver lavt iltindhold, lav</w:t>
            </w:r>
            <w:r>
              <w:rPr>
                <w:rFonts w:ascii="Garamond" w:hAnsi="Garamond"/>
              </w:rPr>
              <w:t>t</w:t>
            </w:r>
            <w:r w:rsidRPr="009573B2">
              <w:rPr>
                <w:rFonts w:ascii="Garamond" w:hAnsi="Garamond"/>
              </w:rPr>
              <w:t xml:space="preserve"> saltindhold, mangel på føde</w:t>
            </w:r>
            <w:r>
              <w:rPr>
                <w:rFonts w:ascii="Garamond" w:hAnsi="Garamond"/>
              </w:rPr>
              <w:t>, sæler</w:t>
            </w:r>
            <w:r w:rsidRPr="009573B2">
              <w:rPr>
                <w:rFonts w:ascii="Garamond" w:hAnsi="Garamond"/>
              </w:rPr>
              <w:t xml:space="preserve"> og parasitangreb </w:t>
            </w:r>
            <w:r>
              <w:rPr>
                <w:rFonts w:ascii="Garamond" w:hAnsi="Garamond"/>
              </w:rPr>
              <w:t>som årsager til stigningen i den naturl</w:t>
            </w:r>
            <w:r>
              <w:rPr>
                <w:rFonts w:ascii="Garamond" w:hAnsi="Garamond"/>
              </w:rPr>
              <w:t>i</w:t>
            </w:r>
            <w:r>
              <w:rPr>
                <w:rFonts w:ascii="Garamond" w:hAnsi="Garamond"/>
              </w:rPr>
              <w:t xml:space="preserve">ge dødelighed. </w:t>
            </w:r>
          </w:p>
        </w:tc>
        <w:tc>
          <w:tcPr>
            <w:tcW w:w="1077" w:type="dxa"/>
          </w:tcPr>
          <w:p w:rsidR="00867898" w:rsidRPr="00C01C99" w:rsidRDefault="00867898" w:rsidP="000F140A">
            <w:pPr>
              <w:pStyle w:val="Listeafsnit"/>
              <w:ind w:left="0"/>
              <w:outlineLvl w:val="0"/>
              <w:rPr>
                <w:rFonts w:ascii="Garamond" w:hAnsi="Garamond"/>
              </w:rPr>
            </w:pPr>
            <w:r>
              <w:rPr>
                <w:rFonts w:ascii="Garamond" w:hAnsi="Garamond"/>
              </w:rPr>
              <w:t>2 000 (kun til b</w:t>
            </w:r>
            <w:r>
              <w:rPr>
                <w:rFonts w:ascii="Garamond" w:hAnsi="Garamond"/>
              </w:rPr>
              <w:t>i</w:t>
            </w:r>
            <w:r>
              <w:rPr>
                <w:rFonts w:ascii="Garamond" w:hAnsi="Garamond"/>
              </w:rPr>
              <w:t>fangst)</w:t>
            </w:r>
          </w:p>
        </w:tc>
        <w:tc>
          <w:tcPr>
            <w:tcW w:w="1687" w:type="dxa"/>
          </w:tcPr>
          <w:p w:rsidR="00867898" w:rsidRPr="00E93A41" w:rsidRDefault="00867898" w:rsidP="000F140A">
            <w:pPr>
              <w:pStyle w:val="Listeafsnit"/>
              <w:ind w:left="0"/>
              <w:outlineLvl w:val="0"/>
              <w:rPr>
                <w:rFonts w:ascii="Garamond" w:hAnsi="Garamond"/>
              </w:rPr>
            </w:pPr>
            <w:r>
              <w:rPr>
                <w:rFonts w:ascii="Garamond" w:hAnsi="Garamond"/>
              </w:rPr>
              <w:t>595</w:t>
            </w:r>
            <w:proofErr w:type="gramStart"/>
            <w:r>
              <w:rPr>
                <w:rFonts w:ascii="Garamond" w:hAnsi="Garamond"/>
              </w:rPr>
              <w:t xml:space="preserve"> (-70 % (kun til bifangster</w:t>
            </w:r>
            <w:proofErr w:type="gramEnd"/>
          </w:p>
        </w:tc>
        <w:tc>
          <w:tcPr>
            <w:tcW w:w="1089" w:type="dxa"/>
          </w:tcPr>
          <w:p w:rsidR="00867898" w:rsidRPr="00E93A41" w:rsidRDefault="00867898" w:rsidP="000F140A">
            <w:pPr>
              <w:pStyle w:val="Listeafsnit"/>
              <w:ind w:left="0"/>
              <w:outlineLvl w:val="0"/>
              <w:rPr>
                <w:rFonts w:ascii="Garamond" w:hAnsi="Garamond"/>
              </w:rPr>
            </w:pPr>
            <w:r w:rsidRPr="00E93A41">
              <w:rPr>
                <w:rFonts w:ascii="Garamond" w:hAnsi="Garamond"/>
              </w:rPr>
              <w:t>(22</w:t>
            </w:r>
            <w:r>
              <w:rPr>
                <w:rFonts w:ascii="Garamond" w:hAnsi="Garamond"/>
              </w:rPr>
              <w:t>,9</w:t>
            </w:r>
            <w:r w:rsidRPr="00E93A41">
              <w:rPr>
                <w:rFonts w:ascii="Garamond" w:hAnsi="Garamond"/>
              </w:rPr>
              <w:t xml:space="preserve"> %)</w:t>
            </w:r>
          </w:p>
        </w:tc>
      </w:tr>
      <w:tr w:rsidR="00867898" w:rsidRPr="00123121" w:rsidTr="000F140A">
        <w:trPr>
          <w:jc w:val="center"/>
        </w:trPr>
        <w:tc>
          <w:tcPr>
            <w:tcW w:w="1321" w:type="dxa"/>
          </w:tcPr>
          <w:p w:rsidR="00867898" w:rsidRPr="00123121" w:rsidRDefault="00867898" w:rsidP="000F140A">
            <w:pPr>
              <w:outlineLvl w:val="0"/>
              <w:rPr>
                <w:b/>
                <w:i/>
              </w:rPr>
            </w:pPr>
            <w:r w:rsidRPr="00123121">
              <w:rPr>
                <w:b/>
                <w:i/>
              </w:rPr>
              <w:t>Torsk i den ves</w:t>
            </w:r>
            <w:r w:rsidRPr="00123121">
              <w:rPr>
                <w:b/>
                <w:i/>
              </w:rPr>
              <w:t>t</w:t>
            </w:r>
            <w:r w:rsidRPr="00123121">
              <w:rPr>
                <w:b/>
                <w:i/>
              </w:rPr>
              <w:t>lige Øster</w:t>
            </w:r>
            <w:r w:rsidRPr="00123121">
              <w:rPr>
                <w:b/>
                <w:i/>
              </w:rPr>
              <w:softHyphen/>
              <w:t>sø (22-24)</w:t>
            </w:r>
          </w:p>
        </w:tc>
        <w:tc>
          <w:tcPr>
            <w:tcW w:w="3326" w:type="dxa"/>
            <w:vAlign w:val="center"/>
          </w:tcPr>
          <w:p w:rsidR="00867898" w:rsidRDefault="00867898" w:rsidP="000F140A">
            <w:pPr>
              <w:pStyle w:val="Default"/>
              <w:rPr>
                <w:rFonts w:ascii="Garamond" w:hAnsi="Garamond"/>
                <w:color w:val="auto"/>
                <w:sz w:val="20"/>
              </w:rPr>
            </w:pPr>
            <w:r w:rsidRPr="00E413F4">
              <w:rPr>
                <w:rFonts w:ascii="Garamond" w:hAnsi="Garamond"/>
                <w:color w:val="auto"/>
                <w:sz w:val="20"/>
                <w:u w:val="single"/>
              </w:rPr>
              <w:t>Anbefalingen på baggrund af den fle</w:t>
            </w:r>
            <w:r w:rsidRPr="00E413F4">
              <w:rPr>
                <w:rFonts w:ascii="Garamond" w:hAnsi="Garamond"/>
                <w:color w:val="auto"/>
                <w:sz w:val="20"/>
                <w:u w:val="single"/>
              </w:rPr>
              <w:t>r</w:t>
            </w:r>
            <w:r w:rsidRPr="00E413F4">
              <w:rPr>
                <w:rFonts w:ascii="Garamond" w:hAnsi="Garamond"/>
                <w:color w:val="auto"/>
                <w:sz w:val="20"/>
                <w:u w:val="single"/>
              </w:rPr>
              <w:t>årige forvaltningsplan er en fangst me</w:t>
            </w:r>
            <w:r w:rsidRPr="00E413F4">
              <w:rPr>
                <w:rFonts w:ascii="Garamond" w:hAnsi="Garamond"/>
                <w:color w:val="auto"/>
                <w:sz w:val="20"/>
                <w:u w:val="single"/>
              </w:rPr>
              <w:t>l</w:t>
            </w:r>
            <w:r w:rsidRPr="00E413F4">
              <w:rPr>
                <w:rFonts w:ascii="Garamond" w:hAnsi="Garamond"/>
                <w:color w:val="auto"/>
                <w:sz w:val="20"/>
                <w:u w:val="single"/>
              </w:rPr>
              <w:t>lem</w:t>
            </w:r>
            <w:r w:rsidRPr="00A44E59">
              <w:rPr>
                <w:rFonts w:ascii="Garamond" w:hAnsi="Garamond"/>
                <w:color w:val="auto"/>
                <w:sz w:val="20"/>
                <w:u w:val="single"/>
              </w:rPr>
              <w:t xml:space="preserve"> </w:t>
            </w:r>
            <w:r w:rsidRPr="00E413F4">
              <w:rPr>
                <w:rFonts w:ascii="Garamond" w:hAnsi="Garamond"/>
                <w:color w:val="auto"/>
                <w:sz w:val="20"/>
                <w:u w:val="single"/>
              </w:rPr>
              <w:t xml:space="preserve">2 960 -7 724 tons for den vestlige </w:t>
            </w:r>
            <w:r w:rsidRPr="00E413F4">
              <w:rPr>
                <w:rFonts w:ascii="Garamond" w:hAnsi="Garamond"/>
                <w:i/>
                <w:color w:val="auto"/>
                <w:sz w:val="20"/>
                <w:u w:val="single"/>
              </w:rPr>
              <w:t>bestand.</w:t>
            </w:r>
            <w:r w:rsidRPr="00E93A41">
              <w:rPr>
                <w:rFonts w:ascii="Garamond" w:hAnsi="Garamond"/>
                <w:color w:val="auto"/>
                <w:sz w:val="20"/>
              </w:rPr>
              <w:t xml:space="preserve"> </w:t>
            </w:r>
            <w:r>
              <w:rPr>
                <w:rFonts w:ascii="Garamond" w:hAnsi="Garamond"/>
                <w:color w:val="auto"/>
                <w:sz w:val="20"/>
              </w:rPr>
              <w:t>Fangst på mere end 4 635 tons (F</w:t>
            </w:r>
            <w:r w:rsidRPr="00E10670">
              <w:rPr>
                <w:rFonts w:ascii="Garamond" w:hAnsi="Garamond"/>
                <w:color w:val="auto"/>
                <w:sz w:val="20"/>
                <w:vertAlign w:val="subscript"/>
              </w:rPr>
              <w:t>MSY</w:t>
            </w:r>
            <w:r>
              <w:rPr>
                <w:rFonts w:ascii="Garamond" w:hAnsi="Garamond"/>
                <w:color w:val="auto"/>
                <w:sz w:val="20"/>
              </w:rPr>
              <w:t>) forudsætter opfyldelse af særlige betingelser. Den forholdsvise store årgang 2016, som dog er nedjusteret, har bidraget til en positiv bestandsu</w:t>
            </w:r>
            <w:r>
              <w:rPr>
                <w:rFonts w:ascii="Garamond" w:hAnsi="Garamond"/>
                <w:color w:val="auto"/>
                <w:sz w:val="20"/>
              </w:rPr>
              <w:t>d</w:t>
            </w:r>
            <w:r>
              <w:rPr>
                <w:rFonts w:ascii="Garamond" w:hAnsi="Garamond"/>
                <w:color w:val="auto"/>
                <w:sz w:val="20"/>
              </w:rPr>
              <w:t xml:space="preserve">vikling, mens de seneste to årgange har været de laveste i tidsperioden siden 1985. </w:t>
            </w:r>
            <w:proofErr w:type="spellStart"/>
            <w:r>
              <w:rPr>
                <w:rFonts w:ascii="Garamond" w:hAnsi="Garamond"/>
                <w:color w:val="auto"/>
                <w:sz w:val="20"/>
              </w:rPr>
              <w:t>Gydebiomassen</w:t>
            </w:r>
            <w:proofErr w:type="spellEnd"/>
            <w:r>
              <w:rPr>
                <w:rFonts w:ascii="Garamond" w:hAnsi="Garamond"/>
                <w:color w:val="auto"/>
                <w:sz w:val="20"/>
              </w:rPr>
              <w:t xml:space="preserve"> er under </w:t>
            </w:r>
            <w:proofErr w:type="spellStart"/>
            <w:r>
              <w:rPr>
                <w:rFonts w:ascii="Garamond" w:hAnsi="Garamond"/>
                <w:color w:val="auto"/>
                <w:sz w:val="20"/>
              </w:rPr>
              <w:t>B</w:t>
            </w:r>
            <w:r w:rsidRPr="00BA0056">
              <w:rPr>
                <w:rFonts w:ascii="Garamond" w:hAnsi="Garamond"/>
                <w:color w:val="auto"/>
                <w:sz w:val="20"/>
                <w:vertAlign w:val="subscript"/>
              </w:rPr>
              <w:t>lim</w:t>
            </w:r>
            <w:proofErr w:type="spellEnd"/>
            <w:r>
              <w:rPr>
                <w:rFonts w:ascii="Garamond" w:hAnsi="Garamond"/>
                <w:color w:val="auto"/>
                <w:sz w:val="20"/>
              </w:rPr>
              <w:t xml:space="preserve">, men vurderes over </w:t>
            </w:r>
            <w:proofErr w:type="spellStart"/>
            <w:r>
              <w:rPr>
                <w:rFonts w:ascii="Garamond" w:hAnsi="Garamond"/>
                <w:color w:val="auto"/>
                <w:sz w:val="20"/>
              </w:rPr>
              <w:t>MSYB</w:t>
            </w:r>
            <w:r w:rsidRPr="00BA0056">
              <w:rPr>
                <w:rFonts w:ascii="Garamond" w:hAnsi="Garamond"/>
                <w:color w:val="auto"/>
                <w:sz w:val="20"/>
                <w:vertAlign w:val="subscript"/>
              </w:rPr>
              <w:t>trigger</w:t>
            </w:r>
            <w:proofErr w:type="spellEnd"/>
            <w:r>
              <w:rPr>
                <w:rFonts w:ascii="Garamond" w:hAnsi="Garamond"/>
                <w:color w:val="auto"/>
                <w:sz w:val="20"/>
                <w:vertAlign w:val="subscript"/>
              </w:rPr>
              <w:t xml:space="preserve"> </w:t>
            </w:r>
            <w:r>
              <w:rPr>
                <w:rFonts w:ascii="Garamond" w:hAnsi="Garamond"/>
                <w:color w:val="auto"/>
                <w:sz w:val="20"/>
              </w:rPr>
              <w:t>i 2021</w:t>
            </w:r>
            <w:r>
              <w:rPr>
                <w:rFonts w:ascii="Garamond" w:hAnsi="Garamond"/>
                <w:color w:val="auto"/>
                <w:sz w:val="20"/>
                <w:vertAlign w:val="subscript"/>
              </w:rPr>
              <w:t xml:space="preserve">. </w:t>
            </w:r>
            <w:r>
              <w:rPr>
                <w:rFonts w:ascii="Garamond" w:hAnsi="Garamond"/>
                <w:color w:val="auto"/>
                <w:sz w:val="20"/>
              </w:rPr>
              <w:t xml:space="preserve">Fiskeridødeligheden var i 2019 på 0,52, hvilket er over målsætningen på F=0,26. Der er i rådgivningen ikke indregnet </w:t>
            </w:r>
            <w:proofErr w:type="spellStart"/>
            <w:r>
              <w:rPr>
                <w:rFonts w:ascii="Garamond" w:hAnsi="Garamond"/>
                <w:color w:val="auto"/>
                <w:sz w:val="20"/>
              </w:rPr>
              <w:t>østtorsk</w:t>
            </w:r>
            <w:proofErr w:type="spellEnd"/>
            <w:r>
              <w:rPr>
                <w:rFonts w:ascii="Garamond" w:hAnsi="Garamond"/>
                <w:color w:val="auto"/>
                <w:sz w:val="20"/>
              </w:rPr>
              <w:t xml:space="preserve"> fra område 24.</w:t>
            </w:r>
          </w:p>
          <w:p w:rsidR="00867898" w:rsidRPr="00E93A41" w:rsidRDefault="00867898" w:rsidP="000F140A">
            <w:pPr>
              <w:pStyle w:val="Default"/>
              <w:rPr>
                <w:color w:val="auto"/>
                <w:sz w:val="20"/>
              </w:rPr>
            </w:pPr>
            <w:r>
              <w:rPr>
                <w:rFonts w:ascii="Garamond" w:hAnsi="Garamond"/>
                <w:color w:val="auto"/>
                <w:sz w:val="20"/>
              </w:rPr>
              <w:t>R</w:t>
            </w:r>
            <w:r w:rsidRPr="00E93A41">
              <w:rPr>
                <w:rFonts w:ascii="Garamond" w:hAnsi="Garamond"/>
                <w:color w:val="auto"/>
                <w:sz w:val="20"/>
              </w:rPr>
              <w:t xml:space="preserve">ekreative fangster </w:t>
            </w:r>
            <w:r>
              <w:rPr>
                <w:rFonts w:ascii="Garamond" w:hAnsi="Garamond"/>
                <w:color w:val="auto"/>
                <w:sz w:val="20"/>
              </w:rPr>
              <w:t>estimeres til</w:t>
            </w:r>
            <w:r w:rsidRPr="00E93A41">
              <w:rPr>
                <w:rFonts w:ascii="Garamond" w:hAnsi="Garamond"/>
                <w:color w:val="auto"/>
                <w:sz w:val="20"/>
              </w:rPr>
              <w:t xml:space="preserve"> </w:t>
            </w:r>
            <w:r>
              <w:rPr>
                <w:rFonts w:ascii="Garamond" w:hAnsi="Garamond"/>
                <w:color w:val="auto"/>
                <w:sz w:val="20"/>
              </w:rPr>
              <w:t xml:space="preserve">1 315 </w:t>
            </w:r>
            <w:r w:rsidRPr="00E93A41">
              <w:rPr>
                <w:rFonts w:ascii="Garamond" w:hAnsi="Garamond"/>
                <w:color w:val="auto"/>
                <w:sz w:val="20"/>
              </w:rPr>
              <w:t xml:space="preserve">tons </w:t>
            </w:r>
            <w:r>
              <w:rPr>
                <w:rFonts w:ascii="Garamond" w:hAnsi="Garamond"/>
                <w:color w:val="auto"/>
                <w:sz w:val="20"/>
              </w:rPr>
              <w:t>og er det laveste niveau i tidsper</w:t>
            </w:r>
            <w:r>
              <w:rPr>
                <w:rFonts w:ascii="Garamond" w:hAnsi="Garamond"/>
                <w:color w:val="auto"/>
                <w:sz w:val="20"/>
              </w:rPr>
              <w:t>i</w:t>
            </w:r>
            <w:r>
              <w:rPr>
                <w:rFonts w:ascii="Garamond" w:hAnsi="Garamond"/>
                <w:color w:val="auto"/>
                <w:sz w:val="20"/>
              </w:rPr>
              <w:t xml:space="preserve">oden. </w:t>
            </w:r>
          </w:p>
        </w:tc>
        <w:tc>
          <w:tcPr>
            <w:tcW w:w="1077" w:type="dxa"/>
          </w:tcPr>
          <w:p w:rsidR="00867898" w:rsidRDefault="00867898" w:rsidP="000F140A">
            <w:pPr>
              <w:pStyle w:val="Listeafsnit"/>
              <w:ind w:left="0"/>
              <w:outlineLvl w:val="0"/>
              <w:rPr>
                <w:rFonts w:ascii="Garamond" w:hAnsi="Garamond"/>
              </w:rPr>
            </w:pPr>
            <w:r>
              <w:rPr>
                <w:rFonts w:ascii="Garamond" w:hAnsi="Garamond"/>
              </w:rPr>
              <w:t>3 806</w:t>
            </w:r>
          </w:p>
          <w:p w:rsidR="00867898" w:rsidRPr="00C95768" w:rsidRDefault="00867898" w:rsidP="000F140A">
            <w:pPr>
              <w:pStyle w:val="Listeafsnit"/>
              <w:ind w:left="0"/>
              <w:outlineLvl w:val="0"/>
              <w:rPr>
                <w:rFonts w:ascii="Garamond" w:hAnsi="Garamond"/>
              </w:rPr>
            </w:pPr>
            <w:r>
              <w:rPr>
                <w:rFonts w:ascii="Garamond" w:hAnsi="Garamond"/>
              </w:rPr>
              <w:t>(kun som bifangst i område 24)</w:t>
            </w:r>
          </w:p>
        </w:tc>
        <w:tc>
          <w:tcPr>
            <w:tcW w:w="1687" w:type="dxa"/>
          </w:tcPr>
          <w:p w:rsidR="00867898" w:rsidRPr="00E93A41" w:rsidRDefault="00867898" w:rsidP="000F140A">
            <w:pPr>
              <w:pStyle w:val="Listeafsnit"/>
              <w:ind w:left="0"/>
              <w:outlineLvl w:val="0"/>
              <w:rPr>
                <w:rFonts w:ascii="Garamond" w:hAnsi="Garamond"/>
              </w:rPr>
            </w:pPr>
            <w:r>
              <w:rPr>
                <w:rFonts w:ascii="Garamond" w:hAnsi="Garamond"/>
              </w:rPr>
              <w:t>3 395 (-11 %)</w:t>
            </w:r>
            <w:r>
              <w:rPr>
                <w:rFonts w:ascii="Garamond" w:hAnsi="Garamond"/>
              </w:rPr>
              <w:br/>
              <w:t>(kun som bifangst i område 24)</w:t>
            </w:r>
          </w:p>
        </w:tc>
        <w:tc>
          <w:tcPr>
            <w:tcW w:w="1089" w:type="dxa"/>
          </w:tcPr>
          <w:p w:rsidR="00867898" w:rsidRPr="00C95768" w:rsidRDefault="00867898" w:rsidP="000F140A">
            <w:pPr>
              <w:pStyle w:val="Listeafsnit"/>
              <w:ind w:left="0"/>
              <w:outlineLvl w:val="0"/>
              <w:rPr>
                <w:rFonts w:ascii="Garamond" w:hAnsi="Garamond"/>
              </w:rPr>
            </w:pPr>
            <w:r w:rsidRPr="00C95768">
              <w:rPr>
                <w:rFonts w:ascii="Garamond" w:hAnsi="Garamond"/>
              </w:rPr>
              <w:t>(43</w:t>
            </w:r>
            <w:r>
              <w:rPr>
                <w:rFonts w:ascii="Garamond" w:hAnsi="Garamond"/>
              </w:rPr>
              <w:t>,6</w:t>
            </w:r>
            <w:r w:rsidRPr="00C95768">
              <w:rPr>
                <w:rFonts w:ascii="Garamond" w:hAnsi="Garamond"/>
              </w:rPr>
              <w:t xml:space="preserve"> %)</w:t>
            </w:r>
          </w:p>
        </w:tc>
      </w:tr>
      <w:tr w:rsidR="00867898" w:rsidRPr="00123121" w:rsidTr="000F140A">
        <w:trPr>
          <w:jc w:val="center"/>
        </w:trPr>
        <w:tc>
          <w:tcPr>
            <w:tcW w:w="1321" w:type="dxa"/>
          </w:tcPr>
          <w:p w:rsidR="00867898" w:rsidRPr="00123121" w:rsidRDefault="00867898" w:rsidP="000F140A">
            <w:pPr>
              <w:outlineLvl w:val="0"/>
              <w:rPr>
                <w:b/>
                <w:i/>
              </w:rPr>
            </w:pPr>
            <w:r>
              <w:rPr>
                <w:b/>
                <w:i/>
              </w:rPr>
              <w:t>Rødspætte (22-32)</w:t>
            </w:r>
          </w:p>
        </w:tc>
        <w:tc>
          <w:tcPr>
            <w:tcW w:w="3326" w:type="dxa"/>
            <w:vAlign w:val="center"/>
          </w:tcPr>
          <w:p w:rsidR="00867898" w:rsidRPr="00E93A41" w:rsidRDefault="00867898" w:rsidP="000F140A">
            <w:pPr>
              <w:outlineLvl w:val="0"/>
            </w:pPr>
            <w:r w:rsidRPr="00AC6760">
              <w:rPr>
                <w:rFonts w:ascii="Garamond" w:hAnsi="Garamond"/>
                <w:u w:val="single"/>
              </w:rPr>
              <w:t>Anbefalingen på baggrund af MSY for område 21-23 og på baggrund af forsi</w:t>
            </w:r>
            <w:r w:rsidRPr="00AC6760">
              <w:rPr>
                <w:rFonts w:ascii="Garamond" w:hAnsi="Garamond"/>
                <w:u w:val="single"/>
              </w:rPr>
              <w:t>g</w:t>
            </w:r>
            <w:r w:rsidRPr="00AC6760">
              <w:rPr>
                <w:rFonts w:ascii="Garamond" w:hAnsi="Garamond"/>
                <w:u w:val="single"/>
              </w:rPr>
              <w:t>tighedsprincippet for område 24-32 er en fangst i Østersøen på 7 754 tons.</w:t>
            </w:r>
            <w:r>
              <w:rPr>
                <w:rFonts w:ascii="Garamond" w:hAnsi="Garamond"/>
              </w:rPr>
              <w:t xml:space="preserve"> Begge bestanden er robuste med god tilvækst.</w:t>
            </w:r>
          </w:p>
        </w:tc>
        <w:tc>
          <w:tcPr>
            <w:tcW w:w="1077" w:type="dxa"/>
          </w:tcPr>
          <w:p w:rsidR="00867898" w:rsidRPr="00944AE1" w:rsidRDefault="00867898" w:rsidP="000F140A">
            <w:pPr>
              <w:pStyle w:val="Listeafsnit"/>
              <w:ind w:left="0"/>
              <w:outlineLvl w:val="0"/>
              <w:rPr>
                <w:rFonts w:ascii="Garamond" w:hAnsi="Garamond"/>
              </w:rPr>
            </w:pPr>
            <w:r>
              <w:rPr>
                <w:rFonts w:ascii="Garamond" w:hAnsi="Garamond"/>
              </w:rPr>
              <w:t>6 894</w:t>
            </w:r>
          </w:p>
        </w:tc>
        <w:tc>
          <w:tcPr>
            <w:tcW w:w="1687" w:type="dxa"/>
          </w:tcPr>
          <w:p w:rsidR="00867898" w:rsidRPr="00E93A41" w:rsidRDefault="00867898" w:rsidP="000F140A">
            <w:pPr>
              <w:pStyle w:val="Listeafsnit"/>
              <w:ind w:left="0"/>
              <w:outlineLvl w:val="0"/>
              <w:rPr>
                <w:rFonts w:ascii="Garamond" w:hAnsi="Garamond"/>
              </w:rPr>
            </w:pPr>
            <w:r>
              <w:rPr>
                <w:rFonts w:ascii="Garamond" w:hAnsi="Garamond"/>
              </w:rPr>
              <w:t>6 894 (0 %)</w:t>
            </w:r>
          </w:p>
        </w:tc>
        <w:tc>
          <w:tcPr>
            <w:tcW w:w="1089" w:type="dxa"/>
          </w:tcPr>
          <w:p w:rsidR="00867898" w:rsidRPr="00C95768" w:rsidRDefault="00867898" w:rsidP="000F140A">
            <w:pPr>
              <w:pStyle w:val="Listeafsnit"/>
              <w:ind w:left="0"/>
              <w:outlineLvl w:val="0"/>
              <w:rPr>
                <w:rFonts w:ascii="Garamond" w:hAnsi="Garamond"/>
              </w:rPr>
            </w:pPr>
            <w:r>
              <w:rPr>
                <w:rFonts w:ascii="Garamond" w:hAnsi="Garamond"/>
              </w:rPr>
              <w:t>(71,6 %)</w:t>
            </w:r>
          </w:p>
        </w:tc>
      </w:tr>
      <w:tr w:rsidR="00867898" w:rsidRPr="009573B2" w:rsidTr="000F140A">
        <w:trPr>
          <w:jc w:val="center"/>
        </w:trPr>
        <w:tc>
          <w:tcPr>
            <w:tcW w:w="1321" w:type="dxa"/>
          </w:tcPr>
          <w:p w:rsidR="00867898" w:rsidRDefault="00867898" w:rsidP="000F140A">
            <w:pPr>
              <w:outlineLvl w:val="0"/>
              <w:rPr>
                <w:b/>
                <w:i/>
              </w:rPr>
            </w:pPr>
            <w:r>
              <w:rPr>
                <w:b/>
                <w:i/>
              </w:rPr>
              <w:t>Laks (22-31) (styk)</w:t>
            </w:r>
          </w:p>
        </w:tc>
        <w:tc>
          <w:tcPr>
            <w:tcW w:w="3326" w:type="dxa"/>
            <w:vAlign w:val="center"/>
          </w:tcPr>
          <w:p w:rsidR="00867898" w:rsidRPr="009573B2" w:rsidRDefault="00867898" w:rsidP="000F140A">
            <w:pPr>
              <w:outlineLvl w:val="0"/>
              <w:rPr>
                <w:rFonts w:ascii="Garamond" w:hAnsi="Garamond"/>
              </w:rPr>
            </w:pPr>
            <w:r w:rsidRPr="00AC6760">
              <w:rPr>
                <w:rFonts w:ascii="Garamond" w:hAnsi="Garamond"/>
                <w:u w:val="single"/>
              </w:rPr>
              <w:t xml:space="preserve">Anbefalingen på baggrund af </w:t>
            </w:r>
            <w:proofErr w:type="spellStart"/>
            <w:r w:rsidRPr="00AC6760">
              <w:rPr>
                <w:rFonts w:ascii="Garamond" w:hAnsi="Garamond"/>
                <w:u w:val="single"/>
              </w:rPr>
              <w:t>MSY-tilgangen</w:t>
            </w:r>
            <w:proofErr w:type="spellEnd"/>
            <w:r w:rsidRPr="00AC6760">
              <w:rPr>
                <w:rFonts w:ascii="Garamond" w:hAnsi="Garamond"/>
                <w:u w:val="single"/>
              </w:rPr>
              <w:t xml:space="preserve"> er en fangst på 116 000 stk. inkl. andelen til Rusland</w:t>
            </w:r>
            <w:r>
              <w:rPr>
                <w:rFonts w:ascii="Garamond" w:hAnsi="Garamond"/>
              </w:rPr>
              <w:t xml:space="preserve">, </w:t>
            </w:r>
            <w:r w:rsidRPr="008A1942">
              <w:rPr>
                <w:rFonts w:ascii="Garamond" w:hAnsi="Garamond"/>
              </w:rPr>
              <w:t xml:space="preserve">og </w:t>
            </w:r>
            <w:r>
              <w:rPr>
                <w:rFonts w:ascii="Garamond" w:hAnsi="Garamond"/>
              </w:rPr>
              <w:t xml:space="preserve">dette </w:t>
            </w:r>
            <w:r w:rsidRPr="008A1942">
              <w:rPr>
                <w:rFonts w:ascii="Garamond" w:hAnsi="Garamond"/>
              </w:rPr>
              <w:t>er uændret i forhold til 2019.</w:t>
            </w:r>
            <w:r w:rsidRPr="009573B2">
              <w:rPr>
                <w:rFonts w:ascii="Garamond" w:hAnsi="Garamond"/>
              </w:rPr>
              <w:t xml:space="preserve"> ICES anb</w:t>
            </w:r>
            <w:r w:rsidRPr="009573B2">
              <w:rPr>
                <w:rFonts w:ascii="Garamond" w:hAnsi="Garamond"/>
              </w:rPr>
              <w:t>e</w:t>
            </w:r>
            <w:r w:rsidRPr="009573B2">
              <w:rPr>
                <w:rFonts w:ascii="Garamond" w:hAnsi="Garamond"/>
              </w:rPr>
              <w:t>faler, at forvaltningen tilrettelægges ud fra bestandssituationen i de enkelte floder.</w:t>
            </w:r>
          </w:p>
        </w:tc>
        <w:tc>
          <w:tcPr>
            <w:tcW w:w="1077" w:type="dxa"/>
          </w:tcPr>
          <w:p w:rsidR="00867898" w:rsidRPr="009573B2" w:rsidRDefault="00867898" w:rsidP="000F140A">
            <w:pPr>
              <w:pStyle w:val="Listeafsnit"/>
              <w:ind w:left="0"/>
              <w:outlineLvl w:val="0"/>
              <w:rPr>
                <w:rFonts w:ascii="Garamond" w:hAnsi="Garamond"/>
              </w:rPr>
            </w:pPr>
            <w:r>
              <w:rPr>
                <w:rFonts w:ascii="Garamond" w:hAnsi="Garamond"/>
              </w:rPr>
              <w:t>86 575</w:t>
            </w:r>
            <w:r w:rsidRPr="009573B2">
              <w:rPr>
                <w:rFonts w:ascii="Garamond" w:hAnsi="Garamond"/>
              </w:rPr>
              <w:t xml:space="preserve"> stk.</w:t>
            </w:r>
          </w:p>
        </w:tc>
        <w:tc>
          <w:tcPr>
            <w:tcW w:w="1687" w:type="dxa"/>
          </w:tcPr>
          <w:p w:rsidR="00867898" w:rsidRPr="009573B2" w:rsidRDefault="00867898" w:rsidP="000F140A">
            <w:pPr>
              <w:pStyle w:val="Listeafsnit"/>
              <w:ind w:left="0"/>
              <w:outlineLvl w:val="0"/>
              <w:rPr>
                <w:rFonts w:ascii="Garamond" w:hAnsi="Garamond"/>
              </w:rPr>
            </w:pPr>
            <w:r>
              <w:rPr>
                <w:rFonts w:ascii="Garamond" w:hAnsi="Garamond"/>
              </w:rPr>
              <w:t xml:space="preserve">94 496 (+ 9 %) </w:t>
            </w:r>
          </w:p>
        </w:tc>
        <w:tc>
          <w:tcPr>
            <w:tcW w:w="1089" w:type="dxa"/>
          </w:tcPr>
          <w:p w:rsidR="00867898" w:rsidRPr="009573B2" w:rsidRDefault="00867898" w:rsidP="000F140A">
            <w:pPr>
              <w:pStyle w:val="Listeafsnit"/>
              <w:ind w:left="0"/>
              <w:outlineLvl w:val="0"/>
              <w:rPr>
                <w:rFonts w:ascii="Garamond" w:hAnsi="Garamond"/>
              </w:rPr>
            </w:pPr>
            <w:r w:rsidRPr="009573B2">
              <w:rPr>
                <w:rFonts w:ascii="Garamond" w:hAnsi="Garamond"/>
              </w:rPr>
              <w:t>(20</w:t>
            </w:r>
            <w:r>
              <w:rPr>
                <w:rFonts w:ascii="Garamond" w:hAnsi="Garamond"/>
              </w:rPr>
              <w:t>,7</w:t>
            </w:r>
            <w:r w:rsidRPr="009573B2">
              <w:rPr>
                <w:rFonts w:ascii="Garamond" w:hAnsi="Garamond"/>
              </w:rPr>
              <w:t xml:space="preserve"> %)</w:t>
            </w:r>
          </w:p>
        </w:tc>
      </w:tr>
      <w:tr w:rsidR="00867898" w:rsidRPr="009573B2" w:rsidTr="000F140A">
        <w:trPr>
          <w:jc w:val="center"/>
        </w:trPr>
        <w:tc>
          <w:tcPr>
            <w:tcW w:w="1321" w:type="dxa"/>
          </w:tcPr>
          <w:p w:rsidR="00867898" w:rsidRDefault="00867898" w:rsidP="000F140A">
            <w:pPr>
              <w:outlineLvl w:val="0"/>
              <w:rPr>
                <w:b/>
                <w:i/>
              </w:rPr>
            </w:pPr>
            <w:r>
              <w:rPr>
                <w:b/>
                <w:i/>
              </w:rPr>
              <w:t>Brisling (22-32)</w:t>
            </w:r>
          </w:p>
        </w:tc>
        <w:tc>
          <w:tcPr>
            <w:tcW w:w="3326" w:type="dxa"/>
            <w:vAlign w:val="center"/>
          </w:tcPr>
          <w:p w:rsidR="00867898" w:rsidRPr="009573B2" w:rsidRDefault="00867898" w:rsidP="000F140A">
            <w:pPr>
              <w:outlineLvl w:val="0"/>
              <w:rPr>
                <w:rFonts w:ascii="Garamond" w:hAnsi="Garamond"/>
              </w:rPr>
            </w:pPr>
            <w:r w:rsidRPr="00AC6760">
              <w:rPr>
                <w:rFonts w:ascii="Garamond" w:hAnsi="Garamond"/>
                <w:u w:val="single"/>
              </w:rPr>
              <w:t>Anbefalingen på baggrund af den fle</w:t>
            </w:r>
            <w:r w:rsidRPr="00AC6760">
              <w:rPr>
                <w:rFonts w:ascii="Garamond" w:hAnsi="Garamond"/>
                <w:u w:val="single"/>
              </w:rPr>
              <w:t>r</w:t>
            </w:r>
            <w:r w:rsidRPr="00AC6760">
              <w:rPr>
                <w:rFonts w:ascii="Garamond" w:hAnsi="Garamond"/>
                <w:u w:val="single"/>
              </w:rPr>
              <w:t>årige forvaltningsplan er en fangst me</w:t>
            </w:r>
            <w:r w:rsidRPr="00AC6760">
              <w:rPr>
                <w:rFonts w:ascii="Garamond" w:hAnsi="Garamond"/>
                <w:u w:val="single"/>
              </w:rPr>
              <w:t>l</w:t>
            </w:r>
            <w:r w:rsidRPr="00AC6760">
              <w:rPr>
                <w:rFonts w:ascii="Garamond" w:hAnsi="Garamond"/>
                <w:u w:val="single"/>
              </w:rPr>
              <w:t>lem 181 567 tons og 316 833 tons inkl. andel til Rusland</w:t>
            </w:r>
            <w:r w:rsidRPr="00075BCA">
              <w:rPr>
                <w:rFonts w:ascii="Garamond" w:hAnsi="Garamond"/>
                <w:u w:val="single"/>
              </w:rPr>
              <w:t>.</w:t>
            </w:r>
            <w:r w:rsidRPr="009573B2">
              <w:rPr>
                <w:rFonts w:ascii="Garamond" w:hAnsi="Garamond"/>
              </w:rPr>
              <w:t xml:space="preserve"> </w:t>
            </w:r>
            <w:r w:rsidRPr="00AC6760">
              <w:rPr>
                <w:rFonts w:ascii="Garamond" w:hAnsi="Garamond"/>
              </w:rPr>
              <w:t>Fangster på mere end 247 952 tons forudsætter opfyldelse af særlige betin</w:t>
            </w:r>
            <w:r w:rsidRPr="00AC6760">
              <w:rPr>
                <w:rFonts w:ascii="Garamond" w:hAnsi="Garamond"/>
              </w:rPr>
              <w:softHyphen/>
              <w:t>gelser.</w:t>
            </w:r>
            <w:r>
              <w:rPr>
                <w:rFonts w:asciiTheme="minorHAnsi" w:hAnsiTheme="minorHAnsi"/>
                <w:sz w:val="18"/>
                <w:szCs w:val="18"/>
              </w:rPr>
              <w:t xml:space="preserve"> </w:t>
            </w:r>
            <w:r w:rsidRPr="009573B2">
              <w:rPr>
                <w:rFonts w:ascii="Garamond" w:hAnsi="Garamond"/>
              </w:rPr>
              <w:t xml:space="preserve">Rekrutteringen varierer </w:t>
            </w:r>
            <w:r>
              <w:rPr>
                <w:rFonts w:ascii="Garamond" w:hAnsi="Garamond"/>
              </w:rPr>
              <w:t xml:space="preserve">mellem </w:t>
            </w:r>
            <w:r w:rsidRPr="009573B2">
              <w:rPr>
                <w:rFonts w:ascii="Garamond" w:hAnsi="Garamond"/>
              </w:rPr>
              <w:t>årene</w:t>
            </w:r>
            <w:r>
              <w:rPr>
                <w:rFonts w:ascii="Garamond" w:hAnsi="Garamond"/>
              </w:rPr>
              <w:t xml:space="preserve"> med </w:t>
            </w:r>
            <w:r w:rsidRPr="009573B2">
              <w:rPr>
                <w:rFonts w:ascii="Garamond" w:hAnsi="Garamond"/>
              </w:rPr>
              <w:t>en meget stor 2014-årgang</w:t>
            </w:r>
            <w:r>
              <w:rPr>
                <w:rFonts w:ascii="Garamond" w:hAnsi="Garamond"/>
              </w:rPr>
              <w:t xml:space="preserve"> og en gennemsnitlig rekruttering i perioden </w:t>
            </w:r>
            <w:r w:rsidRPr="00464EBB">
              <w:rPr>
                <w:rFonts w:ascii="Garamond" w:hAnsi="Garamond"/>
              </w:rPr>
              <w:t xml:space="preserve">2015-2018 </w:t>
            </w:r>
            <w:r>
              <w:rPr>
                <w:rFonts w:ascii="Garamond" w:hAnsi="Garamond"/>
              </w:rPr>
              <w:t xml:space="preserve">og en </w:t>
            </w:r>
            <w:r w:rsidRPr="00464EBB">
              <w:rPr>
                <w:rFonts w:ascii="Garamond" w:hAnsi="Garamond"/>
              </w:rPr>
              <w:t>2019 årgangen er over g</w:t>
            </w:r>
            <w:r>
              <w:rPr>
                <w:rFonts w:ascii="Garamond" w:hAnsi="Garamond"/>
              </w:rPr>
              <w:t>ennemsnittet</w:t>
            </w:r>
            <w:r>
              <w:t>.</w:t>
            </w:r>
            <w:r w:rsidRPr="009573B2">
              <w:rPr>
                <w:rFonts w:ascii="Garamond" w:hAnsi="Garamond"/>
              </w:rPr>
              <w:t xml:space="preserve"> </w:t>
            </w:r>
            <w:r>
              <w:rPr>
                <w:rFonts w:ascii="Garamond" w:hAnsi="Garamond"/>
              </w:rPr>
              <w:t xml:space="preserve">Bestandssituationen er god og stabil. </w:t>
            </w:r>
            <w:r w:rsidRPr="009573B2">
              <w:rPr>
                <w:rFonts w:ascii="Garamond" w:hAnsi="Garamond"/>
              </w:rPr>
              <w:t xml:space="preserve">Fiskeridødeligheden har siden </w:t>
            </w:r>
            <w:r>
              <w:rPr>
                <w:rFonts w:ascii="Garamond" w:hAnsi="Garamond"/>
              </w:rPr>
              <w:t xml:space="preserve">2002 ligget over </w:t>
            </w:r>
            <w:r w:rsidRPr="009573B2">
              <w:rPr>
                <w:rFonts w:ascii="Garamond" w:hAnsi="Garamond"/>
              </w:rPr>
              <w:t>F</w:t>
            </w:r>
            <w:r w:rsidRPr="009573B2">
              <w:rPr>
                <w:rFonts w:ascii="Garamond" w:hAnsi="Garamond"/>
                <w:vertAlign w:val="subscript"/>
              </w:rPr>
              <w:t>MSY</w:t>
            </w:r>
            <w:r>
              <w:rPr>
                <w:rFonts w:ascii="Garamond" w:hAnsi="Garamond"/>
                <w:vertAlign w:val="subscript"/>
              </w:rPr>
              <w:t xml:space="preserve">, </w:t>
            </w:r>
            <w:r>
              <w:rPr>
                <w:rFonts w:ascii="Garamond" w:hAnsi="Garamond"/>
              </w:rPr>
              <w:t>som i 2020 blev opj</w:t>
            </w:r>
            <w:r>
              <w:rPr>
                <w:rFonts w:ascii="Garamond" w:hAnsi="Garamond"/>
              </w:rPr>
              <w:t>u</w:t>
            </w:r>
            <w:r>
              <w:rPr>
                <w:rFonts w:ascii="Garamond" w:hAnsi="Garamond"/>
              </w:rPr>
              <w:t xml:space="preserve">steret fra </w:t>
            </w:r>
            <w:r w:rsidRPr="009573B2">
              <w:rPr>
                <w:rFonts w:ascii="Garamond" w:hAnsi="Garamond"/>
              </w:rPr>
              <w:t>0,26.</w:t>
            </w:r>
            <w:r>
              <w:rPr>
                <w:rFonts w:ascii="Garamond" w:hAnsi="Garamond"/>
              </w:rPr>
              <w:t xml:space="preserve"> til 0,31 efter en delvis videnskabelig bestandsvurdering. Vu</w:t>
            </w:r>
            <w:r>
              <w:rPr>
                <w:rFonts w:ascii="Garamond" w:hAnsi="Garamond"/>
              </w:rPr>
              <w:t>r</w:t>
            </w:r>
            <w:r>
              <w:rPr>
                <w:rFonts w:ascii="Garamond" w:hAnsi="Garamond"/>
              </w:rPr>
              <w:t>deringen udløste ikke ændring i værd</w:t>
            </w:r>
            <w:r>
              <w:rPr>
                <w:rFonts w:ascii="Garamond" w:hAnsi="Garamond"/>
              </w:rPr>
              <w:t>i</w:t>
            </w:r>
            <w:r>
              <w:rPr>
                <w:rFonts w:ascii="Garamond" w:hAnsi="Garamond"/>
              </w:rPr>
              <w:t xml:space="preserve">erne for </w:t>
            </w:r>
            <w:proofErr w:type="spellStart"/>
            <w:r>
              <w:rPr>
                <w:rFonts w:ascii="Garamond" w:hAnsi="Garamond"/>
              </w:rPr>
              <w:t>gydebiomassen</w:t>
            </w:r>
            <w:proofErr w:type="spellEnd"/>
            <w:r>
              <w:rPr>
                <w:rFonts w:ascii="Garamond" w:hAnsi="Garamond"/>
              </w:rPr>
              <w:t>.</w:t>
            </w:r>
          </w:p>
        </w:tc>
        <w:tc>
          <w:tcPr>
            <w:tcW w:w="1077" w:type="dxa"/>
          </w:tcPr>
          <w:p w:rsidR="00867898" w:rsidRPr="009573B2" w:rsidRDefault="00867898" w:rsidP="000F140A">
            <w:pPr>
              <w:pStyle w:val="Listeafsnit"/>
              <w:ind w:left="0"/>
              <w:outlineLvl w:val="0"/>
              <w:rPr>
                <w:rFonts w:ascii="Garamond" w:hAnsi="Garamond"/>
              </w:rPr>
            </w:pPr>
            <w:r>
              <w:rPr>
                <w:rFonts w:ascii="Garamond" w:hAnsi="Garamond"/>
              </w:rPr>
              <w:t>210 147</w:t>
            </w:r>
          </w:p>
        </w:tc>
        <w:tc>
          <w:tcPr>
            <w:tcW w:w="1687" w:type="dxa"/>
          </w:tcPr>
          <w:p w:rsidR="00867898" w:rsidRPr="009573B2" w:rsidRDefault="00867898" w:rsidP="000F140A">
            <w:pPr>
              <w:pStyle w:val="Listeafsnit"/>
              <w:ind w:left="0"/>
              <w:outlineLvl w:val="0"/>
              <w:rPr>
                <w:rFonts w:ascii="Garamond" w:hAnsi="Garamond"/>
              </w:rPr>
            </w:pPr>
            <w:r>
              <w:rPr>
                <w:rFonts w:ascii="Garamond" w:hAnsi="Garamond"/>
              </w:rPr>
              <w:t>210 147 (0)</w:t>
            </w:r>
          </w:p>
        </w:tc>
        <w:tc>
          <w:tcPr>
            <w:tcW w:w="1089" w:type="dxa"/>
          </w:tcPr>
          <w:p w:rsidR="00867898" w:rsidRPr="009573B2" w:rsidRDefault="00867898" w:rsidP="000F140A">
            <w:pPr>
              <w:pStyle w:val="Listeafsnit"/>
              <w:ind w:left="0"/>
              <w:outlineLvl w:val="0"/>
              <w:rPr>
                <w:rFonts w:ascii="Garamond" w:hAnsi="Garamond"/>
              </w:rPr>
            </w:pPr>
            <w:r w:rsidRPr="009573B2">
              <w:rPr>
                <w:rFonts w:ascii="Garamond" w:hAnsi="Garamond"/>
              </w:rPr>
              <w:t>(9</w:t>
            </w:r>
            <w:r>
              <w:rPr>
                <w:rFonts w:ascii="Garamond" w:hAnsi="Garamond"/>
              </w:rPr>
              <w:t>,8</w:t>
            </w:r>
            <w:r w:rsidRPr="009573B2">
              <w:rPr>
                <w:rFonts w:ascii="Garamond" w:hAnsi="Garamond"/>
              </w:rPr>
              <w:t xml:space="preserve"> %)</w:t>
            </w:r>
          </w:p>
        </w:tc>
      </w:tr>
    </w:tbl>
    <w:p w:rsidR="00867898" w:rsidRPr="00123121" w:rsidRDefault="00867898" w:rsidP="00867898">
      <w:pPr>
        <w:outlineLvl w:val="0"/>
      </w:pPr>
    </w:p>
    <w:p w:rsidR="00867898" w:rsidRPr="00123121" w:rsidRDefault="00867898" w:rsidP="00867898">
      <w:pPr>
        <w:outlineLvl w:val="0"/>
        <w:rPr>
          <w:i/>
          <w:szCs w:val="26"/>
        </w:rPr>
      </w:pPr>
      <w:r w:rsidRPr="00123121">
        <w:rPr>
          <w:i/>
          <w:szCs w:val="26"/>
        </w:rPr>
        <w:t>Andre elementer</w:t>
      </w:r>
    </w:p>
    <w:p w:rsidR="00867898" w:rsidRPr="00123121" w:rsidRDefault="00867898" w:rsidP="00867898">
      <w:pPr>
        <w:outlineLvl w:val="0"/>
        <w:rPr>
          <w:szCs w:val="26"/>
        </w:rPr>
      </w:pPr>
      <w:r w:rsidRPr="00123121">
        <w:rPr>
          <w:szCs w:val="26"/>
        </w:rPr>
        <w:t>Forslaget indeholder endvidere regler for ”</w:t>
      </w:r>
      <w:proofErr w:type="spellStart"/>
      <w:r w:rsidRPr="00123121">
        <w:rPr>
          <w:szCs w:val="26"/>
        </w:rPr>
        <w:t>år-til-år</w:t>
      </w:r>
      <w:proofErr w:type="spellEnd"/>
      <w:r w:rsidRPr="00123121">
        <w:rPr>
          <w:szCs w:val="26"/>
        </w:rPr>
        <w:t xml:space="preserve"> fleksibilitet”. Det fremgår heraf, at de hidtidige regler om </w:t>
      </w:r>
      <w:proofErr w:type="spellStart"/>
      <w:r w:rsidRPr="00123121">
        <w:rPr>
          <w:szCs w:val="26"/>
        </w:rPr>
        <w:t>år-til-år</w:t>
      </w:r>
      <w:proofErr w:type="spellEnd"/>
      <w:r w:rsidRPr="00123121">
        <w:rPr>
          <w:szCs w:val="26"/>
        </w:rPr>
        <w:t xml:space="preserve"> fleksibilitet jf. Rådets forordning(EF) 847/96 kun anvendes, når medlemsstaterne ikke anvender den mulighed for </w:t>
      </w:r>
      <w:proofErr w:type="spellStart"/>
      <w:r w:rsidRPr="00123121">
        <w:rPr>
          <w:szCs w:val="26"/>
        </w:rPr>
        <w:t>år-til-år</w:t>
      </w:r>
      <w:proofErr w:type="spellEnd"/>
      <w:r w:rsidRPr="00123121">
        <w:rPr>
          <w:szCs w:val="26"/>
        </w:rPr>
        <w:t xml:space="preserve"> fleksibilitet, som fremgår af grundforordning</w:t>
      </w:r>
      <w:r>
        <w:rPr>
          <w:szCs w:val="26"/>
        </w:rPr>
        <w:t>en</w:t>
      </w:r>
      <w:r w:rsidRPr="00123121">
        <w:rPr>
          <w:szCs w:val="26"/>
        </w:rPr>
        <w:t xml:space="preserve"> (EU) 1380/2013. Sidstnævnte forordning indeholder tillige bestemmelser om ”</w:t>
      </w:r>
      <w:proofErr w:type="spellStart"/>
      <w:r w:rsidRPr="00123121">
        <w:rPr>
          <w:szCs w:val="26"/>
        </w:rPr>
        <w:t>artsfleksibilitet</w:t>
      </w:r>
      <w:proofErr w:type="spellEnd"/>
      <w:r w:rsidRPr="00123121">
        <w:rPr>
          <w:szCs w:val="26"/>
        </w:rPr>
        <w:t xml:space="preserve">”, som gør det muligt at afskrive fangster på en </w:t>
      </w:r>
      <w:proofErr w:type="spellStart"/>
      <w:r w:rsidRPr="00123121">
        <w:rPr>
          <w:szCs w:val="26"/>
        </w:rPr>
        <w:t>målart</w:t>
      </w:r>
      <w:proofErr w:type="spellEnd"/>
      <w:r w:rsidRPr="00123121">
        <w:rPr>
          <w:szCs w:val="26"/>
        </w:rPr>
        <w:t xml:space="preserve"> med op til 9 % af kvoten for </w:t>
      </w:r>
      <w:proofErr w:type="spellStart"/>
      <w:r w:rsidRPr="00123121">
        <w:rPr>
          <w:szCs w:val="26"/>
        </w:rPr>
        <w:t>målarten</w:t>
      </w:r>
      <w:proofErr w:type="spellEnd"/>
      <w:r w:rsidRPr="00123121">
        <w:rPr>
          <w:szCs w:val="26"/>
        </w:rPr>
        <w:t xml:space="preserve">, når </w:t>
      </w:r>
      <w:proofErr w:type="spellStart"/>
      <w:r w:rsidRPr="00123121">
        <w:rPr>
          <w:szCs w:val="26"/>
        </w:rPr>
        <w:t>ikke-målarten</w:t>
      </w:r>
      <w:proofErr w:type="spellEnd"/>
      <w:r w:rsidRPr="00123121">
        <w:rPr>
          <w:szCs w:val="26"/>
        </w:rPr>
        <w:t xml:space="preserve"> er inden for sikre biologiske grænser. </w:t>
      </w:r>
    </w:p>
    <w:p w:rsidR="00867898" w:rsidRPr="00123121" w:rsidRDefault="00867898" w:rsidP="00867898">
      <w:pPr>
        <w:outlineLvl w:val="0"/>
        <w:rPr>
          <w:i/>
          <w:szCs w:val="26"/>
        </w:rPr>
      </w:pPr>
    </w:p>
    <w:p w:rsidR="00867898" w:rsidRPr="00123121" w:rsidRDefault="00867898" w:rsidP="00867898">
      <w:pPr>
        <w:rPr>
          <w:szCs w:val="26"/>
        </w:rPr>
      </w:pPr>
      <w:r>
        <w:rPr>
          <w:szCs w:val="26"/>
        </w:rPr>
        <w:t xml:space="preserve">For </w:t>
      </w:r>
      <w:r w:rsidRPr="00A342A7">
        <w:rPr>
          <w:szCs w:val="26"/>
        </w:rPr>
        <w:t xml:space="preserve">sperling i Nordsøen og Skagerrak </w:t>
      </w:r>
      <w:r>
        <w:rPr>
          <w:szCs w:val="26"/>
        </w:rPr>
        <w:t xml:space="preserve">er der endnu ikke indsat et forslag til TAC. Det forventes at ske </w:t>
      </w:r>
      <w:r w:rsidRPr="00A342A7">
        <w:rPr>
          <w:szCs w:val="26"/>
        </w:rPr>
        <w:t>efter offentliggørelse af ICES rådgivning i oktober</w:t>
      </w:r>
      <w:r>
        <w:rPr>
          <w:szCs w:val="26"/>
        </w:rPr>
        <w:t xml:space="preserve"> forud for rådsmødet</w:t>
      </w:r>
      <w:r w:rsidRPr="00A342A7">
        <w:rPr>
          <w:szCs w:val="26"/>
        </w:rPr>
        <w:t xml:space="preserve">. </w:t>
      </w:r>
      <w:proofErr w:type="spellStart"/>
      <w:r w:rsidRPr="00A342A7">
        <w:rPr>
          <w:szCs w:val="26"/>
        </w:rPr>
        <w:t>TAC’en</w:t>
      </w:r>
      <w:proofErr w:type="spellEnd"/>
      <w:r w:rsidRPr="00A342A7">
        <w:rPr>
          <w:szCs w:val="26"/>
        </w:rPr>
        <w:t xml:space="preserve"> fastsættes for perioden 1. november 20</w:t>
      </w:r>
      <w:r>
        <w:rPr>
          <w:szCs w:val="26"/>
        </w:rPr>
        <w:t>20</w:t>
      </w:r>
      <w:r w:rsidRPr="00A342A7">
        <w:rPr>
          <w:szCs w:val="26"/>
        </w:rPr>
        <w:t xml:space="preserve"> til 31. oktober 202</w:t>
      </w:r>
      <w:r>
        <w:rPr>
          <w:szCs w:val="26"/>
        </w:rPr>
        <w:t>1</w:t>
      </w:r>
      <w:r w:rsidRPr="00A342A7">
        <w:rPr>
          <w:szCs w:val="26"/>
        </w:rPr>
        <w:t>.</w:t>
      </w:r>
      <w:r>
        <w:rPr>
          <w:szCs w:val="26"/>
        </w:rPr>
        <w:t xml:space="preserve"> Det bemærkes, at sperling stort set udelukkende fiskes i britiske farvande. </w:t>
      </w:r>
      <w:r w:rsidRPr="00123121">
        <w:rPr>
          <w:szCs w:val="26"/>
        </w:rPr>
        <w:br/>
      </w:r>
    </w:p>
    <w:p w:rsidR="00867898" w:rsidRPr="00123121" w:rsidRDefault="00867898" w:rsidP="00867898">
      <w:pPr>
        <w:rPr>
          <w:rFonts w:eastAsia="SimSun"/>
          <w:szCs w:val="26"/>
        </w:rPr>
      </w:pPr>
      <w:r w:rsidRPr="00123121">
        <w:rPr>
          <w:rFonts w:eastAsia="SimSun"/>
          <w:b/>
          <w:szCs w:val="26"/>
        </w:rPr>
        <w:t>Europa-Parlamentets udtalelser</w:t>
      </w:r>
    </w:p>
    <w:p w:rsidR="00867898" w:rsidRPr="00123121" w:rsidRDefault="00867898" w:rsidP="00867898">
      <w:pPr>
        <w:outlineLvl w:val="0"/>
        <w:rPr>
          <w:szCs w:val="26"/>
        </w:rPr>
      </w:pPr>
      <w:r w:rsidRPr="00123121">
        <w:rPr>
          <w:szCs w:val="26"/>
        </w:rPr>
        <w:t xml:space="preserve">Europa-Parlamentet skal ikke afgive udtalelse. </w:t>
      </w:r>
    </w:p>
    <w:p w:rsidR="00867898" w:rsidRPr="00123121" w:rsidRDefault="00867898" w:rsidP="00867898">
      <w:pPr>
        <w:rPr>
          <w:rFonts w:eastAsia="SimSun"/>
          <w:b/>
          <w:szCs w:val="26"/>
        </w:rPr>
      </w:pPr>
    </w:p>
    <w:p w:rsidR="00867898" w:rsidRPr="00123121" w:rsidRDefault="00867898" w:rsidP="00867898">
      <w:pPr>
        <w:rPr>
          <w:rFonts w:eastAsia="SimSun"/>
          <w:szCs w:val="26"/>
        </w:rPr>
      </w:pPr>
      <w:r w:rsidRPr="00123121">
        <w:rPr>
          <w:rFonts w:eastAsia="SimSun"/>
          <w:b/>
          <w:szCs w:val="26"/>
        </w:rPr>
        <w:t>Nærhedsprincippet</w:t>
      </w:r>
    </w:p>
    <w:p w:rsidR="00867898" w:rsidRPr="00D2514A" w:rsidRDefault="00867898" w:rsidP="00867898">
      <w:pPr>
        <w:pStyle w:val="Brdtekst"/>
        <w:spacing w:after="0"/>
        <w:rPr>
          <w:rFonts w:asciiTheme="majorHAnsi" w:hAnsiTheme="majorHAnsi"/>
        </w:rPr>
      </w:pPr>
      <w:r w:rsidRPr="00D2514A">
        <w:rPr>
          <w:rFonts w:asciiTheme="majorHAnsi" w:hAnsiTheme="majorHAnsi"/>
        </w:rPr>
        <w:t>Forslaget er et led i gennemførelsen af den fælles fiskeripolitik, hvorfor nærhedsprincippet er tilgod</w:t>
      </w:r>
      <w:r w:rsidRPr="00D2514A">
        <w:rPr>
          <w:rFonts w:asciiTheme="majorHAnsi" w:hAnsiTheme="majorHAnsi"/>
        </w:rPr>
        <w:t>e</w:t>
      </w:r>
      <w:r w:rsidRPr="00D2514A">
        <w:rPr>
          <w:rFonts w:asciiTheme="majorHAnsi" w:hAnsiTheme="majorHAnsi"/>
        </w:rPr>
        <w:t xml:space="preserve">set. </w:t>
      </w:r>
    </w:p>
    <w:p w:rsidR="00867898" w:rsidRPr="00123121" w:rsidRDefault="00867898" w:rsidP="00867898">
      <w:pPr>
        <w:rPr>
          <w:rFonts w:eastAsia="SimSun"/>
          <w:b/>
          <w:szCs w:val="26"/>
        </w:rPr>
      </w:pPr>
    </w:p>
    <w:p w:rsidR="00867898" w:rsidRPr="00123121" w:rsidRDefault="00867898" w:rsidP="00867898">
      <w:pPr>
        <w:rPr>
          <w:rFonts w:eastAsia="SimSun"/>
          <w:szCs w:val="26"/>
        </w:rPr>
      </w:pPr>
      <w:r w:rsidRPr="00123121">
        <w:rPr>
          <w:rFonts w:eastAsia="SimSun"/>
          <w:b/>
          <w:szCs w:val="26"/>
        </w:rPr>
        <w:t>Gældende dansk ret</w:t>
      </w:r>
    </w:p>
    <w:p w:rsidR="00867898" w:rsidRPr="00123121" w:rsidRDefault="00867898" w:rsidP="00867898">
      <w:pPr>
        <w:rPr>
          <w:rFonts w:eastAsia="SimSun"/>
          <w:szCs w:val="26"/>
        </w:rPr>
      </w:pPr>
      <w:r w:rsidRPr="00123121">
        <w:rPr>
          <w:rFonts w:eastAsia="SimSun"/>
          <w:szCs w:val="26"/>
        </w:rPr>
        <w:t>Ikke relevant.</w:t>
      </w:r>
    </w:p>
    <w:p w:rsidR="00867898" w:rsidRPr="00123121" w:rsidRDefault="00867898" w:rsidP="00867898">
      <w:pPr>
        <w:rPr>
          <w:rFonts w:eastAsia="SimSun"/>
          <w:b/>
          <w:szCs w:val="26"/>
        </w:rPr>
      </w:pPr>
    </w:p>
    <w:p w:rsidR="00867898" w:rsidRPr="00123121" w:rsidRDefault="00867898" w:rsidP="00867898">
      <w:pPr>
        <w:rPr>
          <w:rFonts w:eastAsia="SimSun"/>
          <w:szCs w:val="26"/>
        </w:rPr>
      </w:pPr>
      <w:r w:rsidRPr="00123121">
        <w:rPr>
          <w:rFonts w:eastAsia="SimSun"/>
          <w:b/>
          <w:szCs w:val="26"/>
        </w:rPr>
        <w:t>Konsekvenser</w:t>
      </w:r>
    </w:p>
    <w:p w:rsidR="00867898" w:rsidRDefault="00867898" w:rsidP="00867898">
      <w:pPr>
        <w:outlineLvl w:val="0"/>
        <w:rPr>
          <w:szCs w:val="26"/>
        </w:rPr>
      </w:pPr>
      <w:r w:rsidRPr="007D3ED1">
        <w:rPr>
          <w:szCs w:val="26"/>
        </w:rPr>
        <w:t xml:space="preserve">Forslaget vurderes ikke at have lovgivningsmæssige konsekvenser. Forslaget har ikke konsekvenser for EU’s budget. </w:t>
      </w:r>
      <w:r>
        <w:rPr>
          <w:szCs w:val="26"/>
        </w:rPr>
        <w:t>Forslaget vurderes ikke have statsfinansielle konsekvenser.</w:t>
      </w:r>
    </w:p>
    <w:p w:rsidR="00867898" w:rsidRPr="001A5A6B" w:rsidRDefault="00867898" w:rsidP="00867898">
      <w:pPr>
        <w:outlineLvl w:val="0"/>
        <w:rPr>
          <w:szCs w:val="26"/>
        </w:rPr>
      </w:pPr>
    </w:p>
    <w:p w:rsidR="00867898" w:rsidRPr="001A5A6B" w:rsidRDefault="00867898" w:rsidP="00867898">
      <w:pPr>
        <w:outlineLvl w:val="0"/>
        <w:rPr>
          <w:szCs w:val="26"/>
        </w:rPr>
      </w:pPr>
      <w:r w:rsidRPr="00C042ED">
        <w:rPr>
          <w:szCs w:val="26"/>
        </w:rPr>
        <w:t xml:space="preserve">Ifølge Kommissionen indebærer forslaget samlet set en reduktion i fiskerimuligheder </w:t>
      </w:r>
      <w:r w:rsidRPr="007D3ED1">
        <w:rPr>
          <w:szCs w:val="26"/>
        </w:rPr>
        <w:t>på 11,3 %,</w:t>
      </w:r>
      <w:r w:rsidRPr="00C042ED">
        <w:rPr>
          <w:szCs w:val="26"/>
        </w:rPr>
        <w:t xml:space="preserve"> sv</w:t>
      </w:r>
      <w:r w:rsidRPr="00C042ED">
        <w:rPr>
          <w:szCs w:val="26"/>
        </w:rPr>
        <w:t>a</w:t>
      </w:r>
      <w:r w:rsidRPr="00C042ED">
        <w:rPr>
          <w:szCs w:val="26"/>
        </w:rPr>
        <w:t>rende til en samlet mængde på 425</w:t>
      </w:r>
      <w:r>
        <w:rPr>
          <w:szCs w:val="26"/>
        </w:rPr>
        <w:t>.000 tons, s</w:t>
      </w:r>
      <w:r w:rsidRPr="00C042ED">
        <w:rPr>
          <w:szCs w:val="26"/>
        </w:rPr>
        <w:t>om kan fiskes i 2021.</w:t>
      </w:r>
      <w:r w:rsidRPr="001A5A6B">
        <w:rPr>
          <w:szCs w:val="26"/>
        </w:rPr>
        <w:t xml:space="preserve"> </w:t>
      </w:r>
    </w:p>
    <w:p w:rsidR="00867898" w:rsidRPr="001A5A6B" w:rsidRDefault="00867898" w:rsidP="00867898">
      <w:pPr>
        <w:outlineLvl w:val="0"/>
        <w:rPr>
          <w:szCs w:val="26"/>
        </w:rPr>
      </w:pPr>
    </w:p>
    <w:p w:rsidR="00867898" w:rsidRDefault="00867898" w:rsidP="00867898">
      <w:pPr>
        <w:pStyle w:val="Brdtekst"/>
        <w:spacing w:after="0"/>
        <w:rPr>
          <w:rFonts w:asciiTheme="majorHAnsi" w:hAnsiTheme="majorHAnsi"/>
        </w:rPr>
      </w:pPr>
      <w:r>
        <w:rPr>
          <w:rFonts w:asciiTheme="majorHAnsi" w:hAnsiTheme="majorHAnsi"/>
        </w:rPr>
        <w:t>De foreslåede reduktioner af kvoter for torsk i den vestlige samt af kvoterne for sild, særligt i den ves</w:t>
      </w:r>
      <w:r>
        <w:rPr>
          <w:rFonts w:asciiTheme="majorHAnsi" w:hAnsiTheme="majorHAnsi"/>
        </w:rPr>
        <w:t>t</w:t>
      </w:r>
      <w:r>
        <w:rPr>
          <w:rFonts w:asciiTheme="majorHAnsi" w:hAnsiTheme="majorHAnsi"/>
        </w:rPr>
        <w:t>lige Østersø vil have negative økonomiske konsekvenser for de ber</w:t>
      </w:r>
      <w:r w:rsidRPr="00C042ED">
        <w:rPr>
          <w:rFonts w:asciiTheme="majorHAnsi" w:hAnsiTheme="majorHAnsi"/>
        </w:rPr>
        <w:t>ø</w:t>
      </w:r>
      <w:r>
        <w:rPr>
          <w:rFonts w:asciiTheme="majorHAnsi" w:hAnsiTheme="majorHAnsi"/>
        </w:rPr>
        <w:t>rte fiskere. Konsekvenserne a</w:t>
      </w:r>
      <w:r>
        <w:rPr>
          <w:rFonts w:asciiTheme="majorHAnsi" w:hAnsiTheme="majorHAnsi"/>
        </w:rPr>
        <w:t>f</w:t>
      </w:r>
      <w:r>
        <w:rPr>
          <w:rFonts w:asciiTheme="majorHAnsi" w:hAnsiTheme="majorHAnsi"/>
        </w:rPr>
        <w:t>hænger dog af kvoteudnyttelsen af bestandene.</w:t>
      </w:r>
      <w:r>
        <w:rPr>
          <w:rFonts w:asciiTheme="majorHAnsi" w:hAnsiTheme="majorHAnsi"/>
        </w:rPr>
        <w:br/>
      </w:r>
    </w:p>
    <w:p w:rsidR="00867898" w:rsidRPr="00123121" w:rsidRDefault="00867898" w:rsidP="00867898">
      <w:pPr>
        <w:autoSpaceDE w:val="0"/>
        <w:autoSpaceDN w:val="0"/>
        <w:adjustRightInd w:val="0"/>
        <w:rPr>
          <w:szCs w:val="26"/>
        </w:rPr>
      </w:pPr>
      <w:r w:rsidRPr="00FB59D9">
        <w:rPr>
          <w:rFonts w:eastAsia="SimSun"/>
        </w:rPr>
        <w:t>Konsekvenserne for brutto</w:t>
      </w:r>
      <w:r w:rsidRPr="00FB59D9">
        <w:rPr>
          <w:rFonts w:eastAsia="SimSun"/>
        </w:rPr>
        <w:softHyphen/>
        <w:t>indtjeningen vil også afhænge af blandt andet udviklingen i afsætningspr</w:t>
      </w:r>
      <w:r w:rsidRPr="00FB59D9">
        <w:rPr>
          <w:rFonts w:eastAsia="SimSun"/>
        </w:rPr>
        <w:t>i</w:t>
      </w:r>
      <w:r w:rsidRPr="00FB59D9">
        <w:rPr>
          <w:rFonts w:eastAsia="SimSun"/>
        </w:rPr>
        <w:t>serne samt omkostninger, herunder brændstof, og af fiskerimønstre.</w:t>
      </w:r>
      <w:r>
        <w:rPr>
          <w:rFonts w:eastAsia="SimSun"/>
        </w:rPr>
        <w:t xml:space="preserve"> </w:t>
      </w:r>
      <w:r>
        <w:rPr>
          <w:szCs w:val="26"/>
        </w:rPr>
        <w:t xml:space="preserve">Fiskerimulighedernes størrelse </w:t>
      </w:r>
      <w:r w:rsidRPr="00123121">
        <w:rPr>
          <w:szCs w:val="26"/>
        </w:rPr>
        <w:t>har selvsagt også afledte erhvervsøkonomiske konsekvenser for forarbejdningsindustrien og de øvrige følgeerhverv.</w:t>
      </w:r>
      <w:r>
        <w:rPr>
          <w:szCs w:val="26"/>
        </w:rPr>
        <w:br/>
      </w:r>
    </w:p>
    <w:p w:rsidR="00867898" w:rsidRPr="00326885" w:rsidRDefault="00867898" w:rsidP="00867898">
      <w:pPr>
        <w:rPr>
          <w:szCs w:val="26"/>
        </w:rPr>
      </w:pPr>
      <w:r w:rsidRPr="00326885">
        <w:t>Forslaget skønnes at have en positiv virkning for beskyttelsesniveauet i Danmark og EU, da forslaget tager højde for bestandssituationen for de berørte bestande.</w:t>
      </w:r>
    </w:p>
    <w:p w:rsidR="00867898" w:rsidRDefault="00867898" w:rsidP="00867898">
      <w:pPr>
        <w:rPr>
          <w:b/>
          <w:szCs w:val="26"/>
        </w:rPr>
      </w:pPr>
    </w:p>
    <w:p w:rsidR="00867898" w:rsidRDefault="00867898" w:rsidP="00867898">
      <w:pPr>
        <w:rPr>
          <w:szCs w:val="26"/>
        </w:rPr>
      </w:pPr>
      <w:r w:rsidRPr="00123121">
        <w:rPr>
          <w:b/>
          <w:szCs w:val="26"/>
        </w:rPr>
        <w:t>Høring</w:t>
      </w:r>
      <w:r w:rsidRPr="00123121">
        <w:rPr>
          <w:b/>
          <w:szCs w:val="26"/>
        </w:rPr>
        <w:br/>
      </w:r>
      <w:r>
        <w:rPr>
          <w:szCs w:val="26"/>
        </w:rPr>
        <w:t xml:space="preserve">§ 5-udvalget (fiskeri) og § 7-udvalget (rekreativt fiskeri, ferskvandsfiskeri og fiskepleje) vil blive hørt. </w:t>
      </w:r>
    </w:p>
    <w:p w:rsidR="00867898" w:rsidRPr="0050494D" w:rsidRDefault="00867898" w:rsidP="00D86742">
      <w:pPr>
        <w:rPr>
          <w:rFonts w:asciiTheme="majorHAnsi" w:hAnsiTheme="majorHAnsi"/>
          <w:b/>
          <w:sz w:val="36"/>
          <w:szCs w:val="36"/>
        </w:rPr>
      </w:pPr>
    </w:p>
    <w:p w:rsidR="00D86742" w:rsidRDefault="00D86742"/>
    <w:sectPr w:rsidR="00D86742" w:rsidSect="001B515A">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52" w:rsidRDefault="00911052" w:rsidP="00867898">
      <w:r>
        <w:separator/>
      </w:r>
    </w:p>
  </w:endnote>
  <w:endnote w:type="continuationSeparator" w:id="0">
    <w:p w:rsidR="00911052" w:rsidRDefault="00911052" w:rsidP="00867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52" w:rsidRDefault="00911052" w:rsidP="00867898">
      <w:r>
        <w:separator/>
      </w:r>
    </w:p>
  </w:footnote>
  <w:footnote w:type="continuationSeparator" w:id="0">
    <w:p w:rsidR="00911052" w:rsidRDefault="00911052" w:rsidP="00867898">
      <w:r>
        <w:continuationSeparator/>
      </w:r>
    </w:p>
  </w:footnote>
  <w:footnote w:id="1">
    <w:p w:rsidR="00867898" w:rsidRPr="00EC5609" w:rsidRDefault="00867898" w:rsidP="00867898">
      <w:pPr>
        <w:pStyle w:val="Fodnotetekst"/>
        <w:spacing w:line="240" w:lineRule="auto"/>
        <w:rPr>
          <w:rFonts w:ascii="Garamond" w:hAnsi="Garamond"/>
          <w:szCs w:val="18"/>
        </w:rPr>
      </w:pPr>
      <w:r w:rsidRPr="00EC5609">
        <w:rPr>
          <w:rStyle w:val="Fodnotehenvisning"/>
          <w:rFonts w:ascii="Garamond" w:hAnsi="Garamond"/>
          <w:szCs w:val="18"/>
        </w:rPr>
        <w:footnoteRef/>
      </w:r>
      <w:r w:rsidRPr="00EC5609">
        <w:rPr>
          <w:rFonts w:ascii="Garamond" w:hAnsi="Garamond"/>
          <w:szCs w:val="18"/>
        </w:rPr>
        <w:t xml:space="preserve"> TAC = Total </w:t>
      </w:r>
      <w:proofErr w:type="spellStart"/>
      <w:r w:rsidRPr="00EC5609">
        <w:rPr>
          <w:rFonts w:ascii="Garamond" w:hAnsi="Garamond"/>
          <w:szCs w:val="18"/>
        </w:rPr>
        <w:t>Allowable</w:t>
      </w:r>
      <w:proofErr w:type="spellEnd"/>
      <w:r w:rsidRPr="00EC5609">
        <w:rPr>
          <w:rFonts w:ascii="Garamond" w:hAnsi="Garamond"/>
          <w:szCs w:val="18"/>
        </w:rPr>
        <w:t xml:space="preserve"> </w:t>
      </w:r>
      <w:proofErr w:type="spellStart"/>
      <w:r w:rsidRPr="00EC5609">
        <w:rPr>
          <w:rFonts w:ascii="Garamond" w:hAnsi="Garamond"/>
          <w:szCs w:val="18"/>
        </w:rPr>
        <w:t>Catches</w:t>
      </w:r>
      <w:proofErr w:type="spellEnd"/>
      <w:r w:rsidRPr="00EC5609">
        <w:rPr>
          <w:rFonts w:ascii="Garamond" w:hAnsi="Garamond"/>
          <w:szCs w:val="18"/>
        </w:rPr>
        <w:t xml:space="preserve"> = samlede tilladte fangstmængder.</w:t>
      </w:r>
    </w:p>
  </w:footnote>
  <w:footnote w:id="2">
    <w:p w:rsidR="00867898" w:rsidRDefault="00867898" w:rsidP="00867898">
      <w:pPr>
        <w:pStyle w:val="Fodnotetekst"/>
        <w:spacing w:line="240" w:lineRule="auto"/>
      </w:pPr>
      <w:r>
        <w:rPr>
          <w:rStyle w:val="Fodnotehenvisning"/>
        </w:rPr>
        <w:footnoteRef/>
      </w:r>
      <w:r>
        <w:t xml:space="preserve"> </w:t>
      </w:r>
      <w:r w:rsidRPr="00D2514A">
        <w:rPr>
          <w:rFonts w:ascii="Garamond" w:hAnsi="Garamond"/>
        </w:rPr>
        <w:t>Kvote er den andel, som EU har af en mængde delt med andre lande eller et udtryk for den andel</w:t>
      </w:r>
      <w:r>
        <w:rPr>
          <w:rFonts w:ascii="Garamond" w:hAnsi="Garamond"/>
        </w:rPr>
        <w:t>, en medlemsstat</w:t>
      </w:r>
      <w:r w:rsidRPr="00D2514A">
        <w:rPr>
          <w:rFonts w:ascii="Garamond" w:hAnsi="Garamond"/>
        </w:rPr>
        <w:t xml:space="preserve"> har </w:t>
      </w:r>
      <w:r>
        <w:rPr>
          <w:rFonts w:ascii="Garamond" w:hAnsi="Garamond"/>
        </w:rPr>
        <w:t xml:space="preserve">af </w:t>
      </w:r>
      <w:r w:rsidRPr="00D2514A">
        <w:rPr>
          <w:rFonts w:ascii="Garamond" w:hAnsi="Garamond"/>
        </w:rPr>
        <w:t>den samlede EU mængde.</w:t>
      </w:r>
    </w:p>
  </w:footnote>
  <w:footnote w:id="3">
    <w:p w:rsidR="00867898" w:rsidRPr="00EC5609" w:rsidRDefault="00867898" w:rsidP="00867898">
      <w:pPr>
        <w:pStyle w:val="Fodnotetekst"/>
        <w:rPr>
          <w:rFonts w:ascii="Garamond" w:hAnsi="Garamond"/>
          <w:szCs w:val="18"/>
        </w:rPr>
      </w:pPr>
      <w:r w:rsidRPr="00EC5609">
        <w:rPr>
          <w:rStyle w:val="Fodnotehenvisning"/>
          <w:rFonts w:ascii="Garamond" w:hAnsi="Garamond"/>
          <w:szCs w:val="18"/>
        </w:rPr>
        <w:footnoteRef/>
      </w:r>
      <w:r w:rsidRPr="00EC5609">
        <w:rPr>
          <w:rFonts w:ascii="Garamond" w:hAnsi="Garamond"/>
          <w:szCs w:val="18"/>
        </w:rPr>
        <w:t xml:space="preserve"> Fiskeri på grundlag af det maksimalt bæredygtige udbytte (MSY) er den fiskeriintensitet, der giver det største udbytte fra besta</w:t>
      </w:r>
      <w:r w:rsidRPr="00EC5609">
        <w:rPr>
          <w:rFonts w:ascii="Garamond" w:hAnsi="Garamond"/>
          <w:szCs w:val="18"/>
        </w:rPr>
        <w:t>n</w:t>
      </w:r>
      <w:r w:rsidRPr="00EC5609">
        <w:rPr>
          <w:rFonts w:ascii="Garamond" w:hAnsi="Garamond"/>
          <w:szCs w:val="18"/>
        </w:rPr>
        <w:t>den på lang sigt uden at reducere bestandens evne til at reproducere sig på kort sigt.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D86742"/>
    <w:rsid w:val="001B515A"/>
    <w:rsid w:val="00221CAE"/>
    <w:rsid w:val="0050494D"/>
    <w:rsid w:val="00637FE1"/>
    <w:rsid w:val="00867898"/>
    <w:rsid w:val="0087687A"/>
    <w:rsid w:val="00911052"/>
    <w:rsid w:val="00BA45E0"/>
    <w:rsid w:val="00D867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42"/>
    <w:pPr>
      <w:spacing w:after="0" w:line="240" w:lineRule="auto"/>
    </w:pPr>
    <w:rPr>
      <w:rFonts w:ascii="Calibri" w:hAnsi="Calibri" w:cs="Calibri"/>
    </w:rPr>
  </w:style>
  <w:style w:type="paragraph" w:styleId="Overskrift1">
    <w:name w:val="heading 1"/>
    <w:basedOn w:val="Normal"/>
    <w:next w:val="Normal"/>
    <w:link w:val="Overskrift1Tegn"/>
    <w:uiPriority w:val="1"/>
    <w:qFormat/>
    <w:rsid w:val="00867898"/>
    <w:pPr>
      <w:keepNext/>
      <w:spacing w:before="260" w:line="260" w:lineRule="atLeast"/>
      <w:contextualSpacing/>
      <w:outlineLvl w:val="0"/>
    </w:pPr>
    <w:rPr>
      <w:rFonts w:ascii="Georgia" w:eastAsia="Times New Roman" w:hAnsi="Georgia" w:cs="Arial"/>
      <w:b/>
      <w:bCs/>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D86742"/>
    <w:rPr>
      <w:rFonts w:ascii="Verdana" w:hAnsi="Verdana" w:cs="Times New Roman"/>
      <w:sz w:val="20"/>
      <w:szCs w:val="20"/>
      <w:lang w:eastAsia="da-DK"/>
    </w:rPr>
  </w:style>
  <w:style w:type="character" w:customStyle="1" w:styleId="AlmindeligtekstTegn">
    <w:name w:val="Almindelig tekst Tegn"/>
    <w:basedOn w:val="Standardskrifttypeiafsnit"/>
    <w:link w:val="Almindeligtekst"/>
    <w:uiPriority w:val="99"/>
    <w:semiHidden/>
    <w:rsid w:val="00D86742"/>
    <w:rPr>
      <w:rFonts w:ascii="Verdana" w:hAnsi="Verdana" w:cs="Times New Roman"/>
      <w:sz w:val="20"/>
      <w:szCs w:val="20"/>
      <w:lang w:eastAsia="da-DK"/>
    </w:rPr>
  </w:style>
  <w:style w:type="character" w:styleId="Hyperlink">
    <w:name w:val="Hyperlink"/>
    <w:basedOn w:val="Standardskrifttypeiafsnit"/>
    <w:uiPriority w:val="99"/>
    <w:unhideWhenUsed/>
    <w:rsid w:val="0087687A"/>
    <w:rPr>
      <w:color w:val="0000FF" w:themeColor="hyperlink"/>
      <w:u w:val="single"/>
    </w:rPr>
  </w:style>
  <w:style w:type="character" w:customStyle="1" w:styleId="Overskrift1Tegn">
    <w:name w:val="Overskrift 1 Tegn"/>
    <w:basedOn w:val="Standardskrifttypeiafsnit"/>
    <w:link w:val="Overskrift1"/>
    <w:uiPriority w:val="1"/>
    <w:rsid w:val="00867898"/>
    <w:rPr>
      <w:rFonts w:ascii="Georgia" w:eastAsia="Times New Roman" w:hAnsi="Georgia" w:cs="Arial"/>
      <w:b/>
      <w:bCs/>
      <w:szCs w:val="32"/>
      <w:lang w:eastAsia="da-DK"/>
    </w:rPr>
  </w:style>
  <w:style w:type="table" w:styleId="Tabel-Gitter">
    <w:name w:val="Table Grid"/>
    <w:basedOn w:val="Tabel-Normal"/>
    <w:uiPriority w:val="59"/>
    <w:rsid w:val="00867898"/>
    <w:pPr>
      <w:spacing w:after="0" w:line="260" w:lineRule="atLeast"/>
    </w:pPr>
    <w:rPr>
      <w:rFonts w:ascii="Georgia" w:eastAsia="Times New Roman" w:hAnsi="Georgia"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dnotehenvisning">
    <w:name w:val="footnote reference"/>
    <w:aliases w:val="stylish"/>
    <w:basedOn w:val="Standardskrifttypeiafsnit"/>
    <w:rsid w:val="00867898"/>
    <w:rPr>
      <w:rFonts w:ascii="Arial" w:hAnsi="Arial"/>
      <w:sz w:val="22"/>
      <w:vertAlign w:val="superscript"/>
      <w:lang w:val="da-DK"/>
    </w:rPr>
  </w:style>
  <w:style w:type="paragraph" w:styleId="Fodnotetekst">
    <w:name w:val="footnote text"/>
    <w:aliases w:val=" Tegn,Tegn"/>
    <w:basedOn w:val="Normal"/>
    <w:link w:val="FodnotetekstTegn"/>
    <w:rsid w:val="00867898"/>
    <w:pPr>
      <w:spacing w:line="260" w:lineRule="atLeast"/>
    </w:pPr>
    <w:rPr>
      <w:rFonts w:ascii="Georgia" w:eastAsia="Times New Roman" w:hAnsi="Georgia" w:cs="Times New Roman"/>
      <w:sz w:val="18"/>
      <w:szCs w:val="20"/>
      <w:lang w:eastAsia="da-DK"/>
    </w:rPr>
  </w:style>
  <w:style w:type="character" w:customStyle="1" w:styleId="FodnotetekstTegn">
    <w:name w:val="Fodnotetekst Tegn"/>
    <w:aliases w:val=" Tegn Tegn,Tegn Tegn"/>
    <w:basedOn w:val="Standardskrifttypeiafsnit"/>
    <w:link w:val="Fodnotetekst"/>
    <w:rsid w:val="00867898"/>
    <w:rPr>
      <w:rFonts w:ascii="Georgia" w:eastAsia="Times New Roman" w:hAnsi="Georgia" w:cs="Times New Roman"/>
      <w:sz w:val="18"/>
      <w:szCs w:val="20"/>
      <w:lang w:eastAsia="da-DK"/>
    </w:rPr>
  </w:style>
  <w:style w:type="paragraph" w:styleId="Brdtekst">
    <w:name w:val="Body Text"/>
    <w:basedOn w:val="Normal"/>
    <w:link w:val="BrdtekstTegn"/>
    <w:uiPriority w:val="99"/>
    <w:semiHidden/>
    <w:rsid w:val="00867898"/>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uiPriority w:val="99"/>
    <w:semiHidden/>
    <w:rsid w:val="00867898"/>
    <w:rPr>
      <w:rFonts w:ascii="Georgia" w:eastAsia="Times New Roman" w:hAnsi="Georgia" w:cs="Times New Roman"/>
      <w:sz w:val="20"/>
      <w:szCs w:val="20"/>
      <w:lang w:eastAsia="da-DK"/>
    </w:rPr>
  </w:style>
  <w:style w:type="paragraph" w:styleId="Listeafsnit">
    <w:name w:val="List Paragraph"/>
    <w:basedOn w:val="Normal"/>
    <w:link w:val="ListeafsnitTegn"/>
    <w:uiPriority w:val="34"/>
    <w:qFormat/>
    <w:rsid w:val="00867898"/>
    <w:pPr>
      <w:spacing w:line="260" w:lineRule="atLeast"/>
      <w:ind w:left="720"/>
      <w:contextualSpacing/>
    </w:pPr>
    <w:rPr>
      <w:rFonts w:ascii="Georgia" w:eastAsia="Times New Roman" w:hAnsi="Georgia" w:cs="Times New Roman"/>
      <w:sz w:val="20"/>
      <w:szCs w:val="20"/>
      <w:lang w:eastAsia="da-DK"/>
    </w:rPr>
  </w:style>
  <w:style w:type="paragraph" w:customStyle="1" w:styleId="DocumentHeading">
    <w:name w:val="Document Heading"/>
    <w:basedOn w:val="Overskrift1"/>
    <w:uiPriority w:val="6"/>
    <w:semiHidden/>
    <w:rsid w:val="00867898"/>
    <w:pPr>
      <w:spacing w:before="0"/>
    </w:pPr>
  </w:style>
  <w:style w:type="character" w:customStyle="1" w:styleId="ListeafsnitTegn">
    <w:name w:val="Listeafsnit Tegn"/>
    <w:link w:val="Listeafsnit"/>
    <w:uiPriority w:val="34"/>
    <w:locked/>
    <w:rsid w:val="00867898"/>
    <w:rPr>
      <w:rFonts w:ascii="Georgia" w:eastAsia="Times New Roman" w:hAnsi="Georgia" w:cs="Times New Roman"/>
      <w:sz w:val="20"/>
      <w:szCs w:val="20"/>
      <w:lang w:eastAsia="da-DK"/>
    </w:rPr>
  </w:style>
  <w:style w:type="paragraph" w:customStyle="1" w:styleId="Default">
    <w:name w:val="Default"/>
    <w:rsid w:val="00867898"/>
    <w:pPr>
      <w:autoSpaceDE w:val="0"/>
      <w:autoSpaceDN w:val="0"/>
      <w:adjustRightInd w:val="0"/>
      <w:spacing w:after="0" w:line="240" w:lineRule="auto"/>
    </w:pPr>
    <w:rPr>
      <w:rFonts w:ascii="Calibri" w:eastAsia="Times New Roman" w:hAnsi="Calibri" w:cs="Calibri"/>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674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tidsfiskerforbund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2700</Words>
  <Characters>16476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2020-09-17T20:52:00Z</dcterms:created>
  <dcterms:modified xsi:type="dcterms:W3CDTF">2020-09-17T21:15:00Z</dcterms:modified>
</cp:coreProperties>
</file>