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846C" w14:textId="77777777" w:rsidR="00D836DC" w:rsidRPr="00D836DC" w:rsidRDefault="00D836DC" w:rsidP="0099602F">
      <w:pPr>
        <w:spacing w:after="0" w:line="240" w:lineRule="auto"/>
        <w:outlineLvl w:val="0"/>
        <w:rPr>
          <w:rFonts w:eastAsia="Times New Roman" w:cstheme="minorHAnsi"/>
          <w:b/>
          <w:bCs/>
          <w:color w:val="323232"/>
          <w:kern w:val="36"/>
          <w:sz w:val="16"/>
          <w:szCs w:val="16"/>
          <w:lang w:eastAsia="da-DK"/>
        </w:rPr>
      </w:pPr>
    </w:p>
    <w:p w14:paraId="41A9789E" w14:textId="3FFA68C2" w:rsidR="00D836DC" w:rsidRDefault="00D836DC" w:rsidP="0099602F">
      <w:pPr>
        <w:spacing w:after="0" w:line="240" w:lineRule="auto"/>
        <w:outlineLvl w:val="0"/>
        <w:rPr>
          <w:rFonts w:eastAsia="Times New Roman" w:cstheme="minorHAnsi"/>
          <w:b/>
          <w:bCs/>
          <w:color w:val="323232"/>
          <w:kern w:val="36"/>
          <w:sz w:val="52"/>
          <w:szCs w:val="52"/>
          <w:lang w:eastAsia="da-DK"/>
        </w:rPr>
      </w:pPr>
      <w:r>
        <w:rPr>
          <w:noProof/>
        </w:rPr>
        <w:drawing>
          <wp:inline distT="0" distB="0" distL="0" distR="0" wp14:anchorId="7DF4C0D1" wp14:editId="1598CCDB">
            <wp:extent cx="6120130" cy="45916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591685"/>
                    </a:xfrm>
                    <a:prstGeom prst="rect">
                      <a:avLst/>
                    </a:prstGeom>
                    <a:noFill/>
                    <a:ln>
                      <a:noFill/>
                    </a:ln>
                  </pic:spPr>
                </pic:pic>
              </a:graphicData>
            </a:graphic>
          </wp:inline>
        </w:drawing>
      </w:r>
    </w:p>
    <w:p w14:paraId="394A64B0" w14:textId="4CD2154A" w:rsidR="007C4046" w:rsidRPr="007C4046" w:rsidRDefault="007C4046" w:rsidP="0099602F">
      <w:pPr>
        <w:spacing w:after="0" w:line="240" w:lineRule="auto"/>
        <w:outlineLvl w:val="0"/>
        <w:rPr>
          <w:rFonts w:eastAsia="Times New Roman" w:cstheme="minorHAnsi"/>
          <w:i/>
          <w:iCs/>
          <w:color w:val="323232"/>
          <w:kern w:val="36"/>
          <w:sz w:val="20"/>
          <w:szCs w:val="20"/>
          <w:lang w:eastAsia="da-DK"/>
        </w:rPr>
      </w:pPr>
      <w:r w:rsidRPr="007C4046">
        <w:rPr>
          <w:rFonts w:eastAsia="Times New Roman" w:cstheme="minorHAnsi"/>
          <w:i/>
          <w:iCs/>
          <w:color w:val="323232"/>
          <w:kern w:val="36"/>
          <w:sz w:val="20"/>
          <w:szCs w:val="20"/>
          <w:lang w:eastAsia="da-DK"/>
        </w:rPr>
        <w:t>-redigering v. Bruno Müller</w:t>
      </w:r>
    </w:p>
    <w:p w14:paraId="6D864F56" w14:textId="222EEF78" w:rsidR="0099602F" w:rsidRPr="0099602F" w:rsidRDefault="0099602F" w:rsidP="0099602F">
      <w:pPr>
        <w:spacing w:after="0" w:line="240" w:lineRule="auto"/>
        <w:outlineLvl w:val="0"/>
        <w:rPr>
          <w:rFonts w:eastAsia="Times New Roman" w:cstheme="minorHAnsi"/>
          <w:b/>
          <w:bCs/>
          <w:color w:val="323232"/>
          <w:kern w:val="36"/>
          <w:sz w:val="52"/>
          <w:szCs w:val="52"/>
          <w:lang w:eastAsia="da-DK"/>
        </w:rPr>
      </w:pPr>
      <w:r w:rsidRPr="0099602F">
        <w:rPr>
          <w:rFonts w:eastAsia="Times New Roman" w:cstheme="minorHAnsi"/>
          <w:b/>
          <w:bCs/>
          <w:color w:val="323232"/>
          <w:kern w:val="36"/>
          <w:sz w:val="52"/>
          <w:szCs w:val="52"/>
          <w:lang w:eastAsia="da-DK"/>
        </w:rPr>
        <w:t>I somme</w:t>
      </w:r>
      <w:r w:rsidR="007C4046">
        <w:rPr>
          <w:rFonts w:eastAsia="Times New Roman" w:cstheme="minorHAnsi"/>
          <w:b/>
          <w:bCs/>
          <w:color w:val="323232"/>
          <w:kern w:val="36"/>
          <w:sz w:val="52"/>
          <w:szCs w:val="52"/>
          <w:lang w:eastAsia="da-DK"/>
        </w:rPr>
        <w:t>r</w:t>
      </w:r>
      <w:r w:rsidRPr="0099602F">
        <w:rPr>
          <w:rFonts w:eastAsia="Times New Roman" w:cstheme="minorHAnsi"/>
          <w:b/>
          <w:bCs/>
          <w:color w:val="323232"/>
          <w:kern w:val="36"/>
          <w:sz w:val="52"/>
          <w:szCs w:val="52"/>
          <w:lang w:eastAsia="da-DK"/>
        </w:rPr>
        <w:t xml:space="preserve"> bl</w:t>
      </w:r>
      <w:r w:rsidR="00370DC5" w:rsidRPr="002F12F8">
        <w:rPr>
          <w:rFonts w:eastAsia="Times New Roman" w:cstheme="minorHAnsi"/>
          <w:b/>
          <w:bCs/>
          <w:color w:val="323232"/>
          <w:kern w:val="36"/>
          <w:sz w:val="52"/>
          <w:szCs w:val="52"/>
          <w:lang w:eastAsia="da-DK"/>
        </w:rPr>
        <w:t>ev</w:t>
      </w:r>
      <w:r w:rsidRPr="0099602F">
        <w:rPr>
          <w:rFonts w:eastAsia="Times New Roman" w:cstheme="minorHAnsi"/>
          <w:b/>
          <w:bCs/>
          <w:color w:val="323232"/>
          <w:kern w:val="36"/>
          <w:sz w:val="52"/>
          <w:szCs w:val="52"/>
          <w:lang w:eastAsia="da-DK"/>
        </w:rPr>
        <w:t xml:space="preserve"> der udsat 1.793.000 små</w:t>
      </w:r>
      <w:r w:rsidR="007C4046">
        <w:rPr>
          <w:rFonts w:eastAsia="Times New Roman" w:cstheme="minorHAnsi"/>
          <w:b/>
          <w:bCs/>
          <w:color w:val="323232"/>
          <w:kern w:val="36"/>
          <w:sz w:val="52"/>
          <w:szCs w:val="52"/>
          <w:lang w:eastAsia="da-DK"/>
        </w:rPr>
        <w:t xml:space="preserve"> </w:t>
      </w:r>
      <w:proofErr w:type="gramStart"/>
      <w:r w:rsidR="007C4046">
        <w:rPr>
          <w:rFonts w:eastAsia="Times New Roman" w:cstheme="minorHAnsi"/>
          <w:b/>
          <w:bCs/>
          <w:color w:val="323232"/>
          <w:kern w:val="36"/>
          <w:sz w:val="52"/>
          <w:szCs w:val="52"/>
          <w:lang w:eastAsia="da-DK"/>
        </w:rPr>
        <w:t>ål</w:t>
      </w:r>
      <w:r w:rsidRPr="0099602F">
        <w:rPr>
          <w:rFonts w:eastAsia="Times New Roman" w:cstheme="minorHAnsi"/>
          <w:b/>
          <w:bCs/>
          <w:color w:val="323232"/>
          <w:kern w:val="36"/>
          <w:sz w:val="52"/>
          <w:szCs w:val="52"/>
          <w:lang w:eastAsia="da-DK"/>
        </w:rPr>
        <w:t xml:space="preserve"> </w:t>
      </w:r>
      <w:r w:rsidR="007C4046">
        <w:rPr>
          <w:rFonts w:eastAsia="Times New Roman" w:cstheme="minorHAnsi"/>
          <w:b/>
          <w:bCs/>
          <w:color w:val="323232"/>
          <w:kern w:val="36"/>
          <w:sz w:val="52"/>
          <w:szCs w:val="52"/>
          <w:lang w:eastAsia="da-DK"/>
        </w:rPr>
        <w:t>!</w:t>
      </w:r>
      <w:proofErr w:type="gramEnd"/>
    </w:p>
    <w:p w14:paraId="24B51D21" w14:textId="13E428A6" w:rsidR="00370DC5" w:rsidRPr="00D836DC" w:rsidRDefault="00370DC5" w:rsidP="00370DC5">
      <w:pPr>
        <w:spacing w:after="0" w:line="240" w:lineRule="auto"/>
        <w:rPr>
          <w:rFonts w:ascii="Arial" w:eastAsia="Times New Roman" w:hAnsi="Arial" w:cs="Arial"/>
          <w:color w:val="999999"/>
          <w:sz w:val="14"/>
          <w:szCs w:val="14"/>
          <w:lang w:eastAsia="da-DK"/>
        </w:rPr>
        <w:sectPr w:rsidR="00370DC5" w:rsidRPr="00D836DC" w:rsidSect="007C4046">
          <w:pgSz w:w="11906" w:h="16838"/>
          <w:pgMar w:top="0" w:right="566" w:bottom="284" w:left="1134" w:header="708" w:footer="708" w:gutter="0"/>
          <w:cols w:space="708"/>
          <w:docGrid w:linePitch="360"/>
        </w:sectPr>
      </w:pPr>
    </w:p>
    <w:p w14:paraId="56AEFAFF" w14:textId="18B488D0" w:rsidR="00D836DC" w:rsidRPr="00D836DC" w:rsidRDefault="0099602F" w:rsidP="00D836DC">
      <w:pPr>
        <w:spacing w:after="0" w:line="240" w:lineRule="auto"/>
        <w:rPr>
          <w:rFonts w:eastAsia="Times New Roman" w:cstheme="minorHAnsi"/>
          <w:color w:val="323232"/>
          <w:sz w:val="20"/>
          <w:szCs w:val="20"/>
          <w:bdr w:val="none" w:sz="0" w:space="0" w:color="auto" w:frame="1"/>
          <w:lang w:eastAsia="da-DK"/>
        </w:rPr>
      </w:pPr>
      <w:r w:rsidRPr="0099602F">
        <w:rPr>
          <w:rFonts w:eastAsia="Times New Roman" w:cstheme="minorHAnsi"/>
          <w:b/>
          <w:bCs/>
          <w:color w:val="323232"/>
          <w:sz w:val="28"/>
          <w:szCs w:val="28"/>
          <w:bdr w:val="none" w:sz="0" w:space="0" w:color="auto" w:frame="1"/>
          <w:lang w:eastAsia="da-DK"/>
        </w:rPr>
        <w:t xml:space="preserve">Formålet er at øge antallet af voksne ål, der søger mod Sargassohavet for at </w:t>
      </w:r>
      <w:r w:rsidR="007C4046" w:rsidRPr="007C4046">
        <w:rPr>
          <w:rFonts w:eastAsia="Times New Roman" w:cstheme="minorHAnsi"/>
          <w:b/>
          <w:bCs/>
          <w:color w:val="323232"/>
          <w:sz w:val="28"/>
          <w:szCs w:val="28"/>
          <w:bdr w:val="none" w:sz="0" w:space="0" w:color="auto" w:frame="1"/>
          <w:lang w:eastAsia="da-DK"/>
        </w:rPr>
        <w:t xml:space="preserve">gyde.                                                               </w:t>
      </w:r>
      <w:r w:rsidR="007C4046" w:rsidRPr="0099602F">
        <w:rPr>
          <w:rFonts w:eastAsia="Times New Roman" w:cstheme="minorHAnsi"/>
          <w:color w:val="323232"/>
          <w:sz w:val="20"/>
          <w:szCs w:val="20"/>
          <w:bdr w:val="none" w:sz="0" w:space="0" w:color="auto" w:frame="1"/>
          <w:lang w:eastAsia="da-DK"/>
        </w:rPr>
        <w:t>Den</w:t>
      </w:r>
      <w:r w:rsidRPr="0099602F">
        <w:rPr>
          <w:rFonts w:eastAsia="Times New Roman" w:cstheme="minorHAnsi"/>
          <w:color w:val="323232"/>
          <w:sz w:val="20"/>
          <w:szCs w:val="20"/>
          <w:bdr w:val="none" w:sz="0" w:space="0" w:color="auto" w:frame="1"/>
          <w:lang w:eastAsia="da-DK"/>
        </w:rPr>
        <w:t xml:space="preserve"> danske forvaltningsplan for ål har som formål at øge antallet af blankål i naturen. Blankål er det stadie, som ålene når efter 5-15 år, inden de starter deres vandring til gydepladserne i Sargassohavet, som ligger 6.000 km vest for Europa. Ud over begrænsninger i fiskeriet forsøger man at genoprette bestanden ved at udsætte åleyngel.</w:t>
      </w:r>
      <w:r w:rsidR="00370DC5">
        <w:rPr>
          <w:rFonts w:eastAsia="Times New Roman" w:cstheme="minorHAnsi"/>
          <w:color w:val="323232"/>
          <w:sz w:val="20"/>
          <w:szCs w:val="20"/>
          <w:bdr w:val="none" w:sz="0" w:space="0" w:color="auto" w:frame="1"/>
          <w:lang w:eastAsia="da-DK"/>
        </w:rPr>
        <w:t xml:space="preserve"> </w:t>
      </w:r>
      <w:proofErr w:type="gramStart"/>
      <w:r w:rsidRPr="0099602F">
        <w:rPr>
          <w:rFonts w:eastAsia="Times New Roman" w:cstheme="minorHAnsi"/>
          <w:color w:val="323232"/>
          <w:sz w:val="20"/>
          <w:szCs w:val="20"/>
          <w:bdr w:val="none" w:sz="0" w:space="0" w:color="auto" w:frame="1"/>
          <w:lang w:eastAsia="da-DK"/>
        </w:rPr>
        <w:t>De</w:t>
      </w:r>
      <w:proofErr w:type="gramEnd"/>
      <w:r w:rsidRPr="0099602F">
        <w:rPr>
          <w:rFonts w:eastAsia="Times New Roman" w:cstheme="minorHAnsi"/>
          <w:color w:val="323232"/>
          <w:sz w:val="20"/>
          <w:szCs w:val="20"/>
          <w:bdr w:val="none" w:sz="0" w:space="0" w:color="auto" w:frame="1"/>
          <w:lang w:eastAsia="da-DK"/>
        </w:rPr>
        <w:t xml:space="preserve"> mange ål, som er ca. 10-15 cm lange, bliver udsat på forskellige lokaliteter rundt om i Danmark. Udsætningerne bliver planlagt af DTU Aqua og selve udsætningerne foregår med hjælp fra fritidsfiskere, sportsfiskere, bredejere og åmænd.</w:t>
      </w:r>
      <w:r w:rsidRPr="00370DC5">
        <w:rPr>
          <w:rFonts w:eastAsia="Times New Roman" w:cstheme="minorHAnsi"/>
          <w:color w:val="323232"/>
          <w:sz w:val="20"/>
          <w:szCs w:val="20"/>
          <w:lang w:eastAsia="da-DK"/>
        </w:rPr>
        <w:t xml:space="preserve">                                                                       </w:t>
      </w:r>
      <w:r w:rsidRPr="0099602F">
        <w:rPr>
          <w:rFonts w:eastAsia="Times New Roman" w:cstheme="minorHAnsi"/>
          <w:color w:val="323232"/>
          <w:sz w:val="20"/>
          <w:szCs w:val="20"/>
          <w:bdr w:val="none" w:sz="0" w:space="0" w:color="auto" w:frame="1"/>
          <w:lang w:eastAsia="da-DK"/>
        </w:rPr>
        <w:t>Udsætningerne er finansieret af den Europæiske Hav- og Fiskerifond og fisketegnsmidler. </w:t>
      </w:r>
      <w:r w:rsidRPr="00370DC5">
        <w:rPr>
          <w:rFonts w:eastAsia="Times New Roman" w:cstheme="minorHAnsi"/>
          <w:color w:val="323232"/>
          <w:sz w:val="20"/>
          <w:szCs w:val="20"/>
          <w:lang w:eastAsia="da-DK"/>
        </w:rPr>
        <w:br/>
      </w:r>
      <w:r w:rsidRPr="0099602F">
        <w:rPr>
          <w:rFonts w:eastAsia="Times New Roman" w:cstheme="minorHAnsi"/>
          <w:b/>
          <w:bCs/>
          <w:color w:val="323232"/>
          <w:sz w:val="20"/>
          <w:szCs w:val="20"/>
          <w:bdr w:val="none" w:sz="0" w:space="0" w:color="auto" w:frame="1"/>
          <w:lang w:eastAsia="da-DK"/>
        </w:rPr>
        <w:t>De fleste ål bliver udsat i vandløb og søer </w:t>
      </w:r>
      <w:r w:rsidRPr="0099602F">
        <w:rPr>
          <w:rFonts w:eastAsia="Times New Roman" w:cstheme="minorHAnsi"/>
          <w:color w:val="323232"/>
          <w:sz w:val="20"/>
          <w:szCs w:val="20"/>
          <w:bdr w:val="none" w:sz="0" w:space="0" w:color="auto" w:frame="1"/>
          <w:lang w:eastAsia="da-DK"/>
        </w:rPr>
        <w:t>Den danske forvaltningsplan for ål, som udspringer af EU’s genopretningsplan for ålebestanden, har særligt fokus på at øge produktionen af blankål i ferskvand. Målet er at øge mængden af blankål i ferskvand til 40 % af det oprindelige niveau. Derfor bliver der udsat flere ål i ferskvand end i saltvand. I år bliver 8 % af de små ål udsat i saltvand og 92 % i vandløb og søer</w:t>
      </w:r>
      <w:r w:rsidRPr="00370DC5">
        <w:rPr>
          <w:rFonts w:eastAsia="Times New Roman" w:cstheme="minorHAnsi"/>
          <w:color w:val="323232"/>
          <w:sz w:val="20"/>
          <w:szCs w:val="20"/>
          <w:bdr w:val="none" w:sz="0" w:space="0" w:color="auto" w:frame="1"/>
          <w:lang w:eastAsia="da-DK"/>
        </w:rPr>
        <w:t xml:space="preserve">                 </w:t>
      </w:r>
      <w:r w:rsidR="00370DC5">
        <w:rPr>
          <w:rFonts w:eastAsia="Times New Roman" w:cstheme="minorHAnsi"/>
          <w:color w:val="323232"/>
          <w:sz w:val="20"/>
          <w:szCs w:val="20"/>
          <w:bdr w:val="none" w:sz="0" w:space="0" w:color="auto" w:frame="1"/>
          <w:lang w:eastAsia="da-DK"/>
        </w:rPr>
        <w:t xml:space="preserve">   </w:t>
      </w:r>
      <w:r w:rsidR="00D836DC">
        <w:rPr>
          <w:rFonts w:eastAsia="Times New Roman" w:cstheme="minorHAnsi"/>
          <w:color w:val="323232"/>
          <w:sz w:val="20"/>
          <w:szCs w:val="20"/>
          <w:bdr w:val="none" w:sz="0" w:space="0" w:color="auto" w:frame="1"/>
          <w:lang w:eastAsia="da-DK"/>
        </w:rPr>
        <w:t xml:space="preserve">                                                     </w:t>
      </w:r>
      <w:r w:rsidRPr="0099602F">
        <w:rPr>
          <w:rFonts w:eastAsia="Times New Roman" w:cstheme="minorHAnsi"/>
          <w:color w:val="323232"/>
          <w:sz w:val="20"/>
          <w:szCs w:val="20"/>
          <w:bdr w:val="none" w:sz="0" w:space="0" w:color="auto" w:frame="1"/>
          <w:lang w:eastAsia="da-DK"/>
        </w:rPr>
        <w:t>De ål, der bliver udsat, stammer fra glasålsfiskeri i Sydeuropa. Formålet med at flytte rundt på ålene er at flytte dem fra et område med stor dødelighed til et område med mindre dødelighed, så flere af dem bliver voksne og kan vandre til Sargassohavet for at gyde</w:t>
      </w:r>
      <w:r w:rsidR="00D836DC">
        <w:rPr>
          <w:rFonts w:eastAsia="Times New Roman" w:cstheme="minorHAnsi"/>
          <w:color w:val="323232"/>
          <w:sz w:val="20"/>
          <w:szCs w:val="20"/>
          <w:bdr w:val="none" w:sz="0" w:space="0" w:color="auto" w:frame="1"/>
          <w:lang w:eastAsia="da-DK"/>
        </w:rPr>
        <w:t>.</w:t>
      </w:r>
      <w:r w:rsidR="00D836DC">
        <w:rPr>
          <w:rFonts w:eastAsia="Times New Roman" w:cstheme="minorHAnsi"/>
          <w:color w:val="323232"/>
          <w:sz w:val="20"/>
          <w:szCs w:val="20"/>
          <w:bdr w:val="none" w:sz="0" w:space="0" w:color="auto" w:frame="1"/>
          <w:lang w:eastAsia="da-DK"/>
        </w:rPr>
        <w:br/>
      </w:r>
      <w:r w:rsidRPr="0099602F">
        <w:rPr>
          <w:rFonts w:eastAsia="Times New Roman" w:cstheme="minorHAnsi"/>
          <w:color w:val="323232"/>
          <w:sz w:val="20"/>
          <w:szCs w:val="20"/>
          <w:bdr w:val="none" w:sz="0" w:space="0" w:color="auto" w:frame="1"/>
          <w:lang w:eastAsia="da-DK"/>
        </w:rPr>
        <w:t xml:space="preserve"> </w:t>
      </w:r>
      <w:r w:rsidR="00D836DC" w:rsidRPr="0099602F">
        <w:rPr>
          <w:rFonts w:eastAsia="Times New Roman" w:cstheme="minorHAnsi"/>
          <w:color w:val="323232"/>
          <w:sz w:val="20"/>
          <w:szCs w:val="20"/>
          <w:bdr w:val="none" w:sz="0" w:space="0" w:color="auto" w:frame="1"/>
          <w:lang w:eastAsia="da-DK"/>
        </w:rPr>
        <w:t>Flere undersøgelser underbygger, at ål fra udsætninger vokser og bliver til blankål, der søger mod havet.</w:t>
      </w:r>
      <w:r w:rsidR="00D836DC" w:rsidRPr="00370DC5">
        <w:rPr>
          <w:rFonts w:eastAsia="Times New Roman" w:cstheme="minorHAnsi"/>
          <w:color w:val="323232"/>
          <w:sz w:val="20"/>
          <w:szCs w:val="20"/>
          <w:bdr w:val="none" w:sz="0" w:space="0" w:color="auto" w:frame="1"/>
          <w:lang w:eastAsia="da-DK"/>
        </w:rPr>
        <w:t xml:space="preserve">                                                                                      </w:t>
      </w:r>
      <w:r w:rsidR="00D836DC" w:rsidRPr="00370DC5">
        <w:rPr>
          <w:rFonts w:eastAsia="Times New Roman" w:cstheme="minorHAnsi"/>
          <w:b/>
          <w:bCs/>
          <w:color w:val="323232"/>
          <w:sz w:val="20"/>
          <w:szCs w:val="20"/>
          <w:bdr w:val="none" w:sz="0" w:space="0" w:color="auto" w:frame="1"/>
          <w:lang w:eastAsia="da-DK"/>
        </w:rPr>
        <w:t xml:space="preserve"> </w:t>
      </w:r>
    </w:p>
    <w:p w14:paraId="11DFFC55" w14:textId="77777777" w:rsidR="00D836DC" w:rsidRPr="0099602F" w:rsidRDefault="00D836DC" w:rsidP="00D836DC">
      <w:pPr>
        <w:spacing w:after="0" w:line="240" w:lineRule="auto"/>
        <w:rPr>
          <w:rFonts w:eastAsia="Times New Roman" w:cstheme="minorHAnsi"/>
          <w:color w:val="323232"/>
          <w:sz w:val="20"/>
          <w:szCs w:val="20"/>
          <w:lang w:eastAsia="da-DK"/>
        </w:rPr>
      </w:pPr>
      <w:r w:rsidRPr="0099602F">
        <w:rPr>
          <w:rFonts w:eastAsia="Times New Roman" w:cstheme="minorHAnsi"/>
          <w:b/>
          <w:bCs/>
          <w:color w:val="323232"/>
          <w:sz w:val="20"/>
          <w:szCs w:val="20"/>
          <w:bdr w:val="none" w:sz="0" w:space="0" w:color="auto" w:frame="1"/>
          <w:lang w:eastAsia="da-DK"/>
        </w:rPr>
        <w:t>Hvordan beskytter/forvalter man ålebestanden?</w:t>
      </w:r>
    </w:p>
    <w:p w14:paraId="58DFF2D6" w14:textId="77777777" w:rsidR="00D836DC" w:rsidRPr="00370DC5" w:rsidRDefault="00D836DC" w:rsidP="007C4046">
      <w:pPr>
        <w:spacing w:after="0" w:line="240" w:lineRule="auto"/>
        <w:rPr>
          <w:rFonts w:cstheme="minorHAnsi"/>
          <w:b/>
          <w:bCs/>
          <w:sz w:val="20"/>
          <w:szCs w:val="20"/>
        </w:rPr>
      </w:pPr>
      <w:r w:rsidRPr="0099602F">
        <w:rPr>
          <w:rFonts w:eastAsia="Times New Roman" w:cstheme="minorHAnsi"/>
          <w:color w:val="323232"/>
          <w:sz w:val="20"/>
          <w:szCs w:val="20"/>
          <w:bdr w:val="none" w:sz="0" w:space="0" w:color="auto" w:frame="1"/>
          <w:lang w:eastAsia="da-DK"/>
        </w:rPr>
        <w:t>Nedgangen i mængden af glasål har betydet, at EU har vedtaget en europæisk genopretningsplan for ål, der sigter mod at beskytte og styrke ålebestanden.</w:t>
      </w:r>
      <w:r w:rsidRPr="0099602F">
        <w:rPr>
          <w:rFonts w:eastAsia="Times New Roman" w:cstheme="minorHAnsi"/>
          <w:color w:val="B20000"/>
          <w:sz w:val="20"/>
          <w:szCs w:val="20"/>
          <w:bdr w:val="none" w:sz="0" w:space="0" w:color="auto" w:frame="1"/>
          <w:lang w:eastAsia="da-DK"/>
        </w:rPr>
        <w:br/>
      </w:r>
      <w:hyperlink r:id="rId5" w:history="1">
        <w:r w:rsidRPr="0099602F">
          <w:rPr>
            <w:rFonts w:eastAsia="Times New Roman" w:cstheme="minorHAnsi"/>
            <w:b/>
            <w:bCs/>
            <w:color w:val="0070C0"/>
            <w:sz w:val="24"/>
            <w:szCs w:val="24"/>
            <w:u w:val="single"/>
            <w:bdr w:val="none" w:sz="0" w:space="0" w:color="auto" w:frame="1"/>
            <w:lang w:eastAsia="da-DK"/>
          </w:rPr>
          <w:t>Her udsættes ål i vandløb, søer og kystnære områder 2022</w:t>
        </w:r>
      </w:hyperlink>
      <w:r w:rsidRPr="00370DC5">
        <w:rPr>
          <w:rFonts w:eastAsia="Times New Roman" w:cstheme="minorHAnsi"/>
          <w:color w:val="323232"/>
          <w:sz w:val="20"/>
          <w:szCs w:val="20"/>
          <w:bdr w:val="none" w:sz="0" w:space="0" w:color="auto" w:frame="1"/>
          <w:lang w:eastAsia="da-DK"/>
        </w:rPr>
        <w:br/>
      </w:r>
      <w:r w:rsidRPr="00370DC5">
        <w:rPr>
          <w:rFonts w:cstheme="minorHAnsi"/>
          <w:b/>
          <w:bCs/>
          <w:sz w:val="20"/>
          <w:szCs w:val="20"/>
        </w:rPr>
        <w:t xml:space="preserve">Tabellen viser, hvor mange ål hvert hovedområde er tildelt. Fordeling i procent tager udgangspunkt i fritidsfisker-licensernes fordeling på landsplan. </w:t>
      </w:r>
    </w:p>
    <w:p w14:paraId="2273F128" w14:textId="77777777" w:rsidR="00D836DC" w:rsidRPr="00370DC5" w:rsidRDefault="00D836DC" w:rsidP="007C4046">
      <w:pPr>
        <w:spacing w:after="0" w:line="240" w:lineRule="auto"/>
        <w:rPr>
          <w:rFonts w:cstheme="minorHAnsi"/>
          <w:b/>
          <w:bCs/>
          <w:sz w:val="20"/>
          <w:szCs w:val="20"/>
        </w:rPr>
      </w:pPr>
      <w:r w:rsidRPr="00370DC5">
        <w:rPr>
          <w:rFonts w:cstheme="minorHAnsi"/>
          <w:b/>
          <w:bCs/>
          <w:sz w:val="20"/>
          <w:szCs w:val="20"/>
        </w:rPr>
        <w:t xml:space="preserve">Hovedområde Navn Fordeling (%) Antal tusinde </w:t>
      </w:r>
    </w:p>
    <w:p w14:paraId="54F75735" w14:textId="34F3083E" w:rsidR="00D836DC" w:rsidRPr="00370DC5" w:rsidRDefault="00D836DC" w:rsidP="007C4046">
      <w:pPr>
        <w:spacing w:after="0" w:line="240" w:lineRule="auto"/>
        <w:rPr>
          <w:rFonts w:cstheme="minorHAnsi"/>
          <w:sz w:val="20"/>
          <w:szCs w:val="20"/>
        </w:rPr>
      </w:pPr>
      <w:r w:rsidRPr="002F12F8">
        <w:rPr>
          <w:rFonts w:cstheme="minorHAnsi"/>
          <w:b/>
          <w:bCs/>
          <w:sz w:val="20"/>
          <w:szCs w:val="20"/>
        </w:rPr>
        <w:t>1</w:t>
      </w:r>
      <w:r w:rsidRPr="00370DC5">
        <w:rPr>
          <w:rFonts w:cstheme="minorHAnsi"/>
          <w:sz w:val="20"/>
          <w:szCs w:val="20"/>
        </w:rPr>
        <w:t xml:space="preserve"> Vestlige Limfjord 3,13 4        </w:t>
      </w:r>
      <w:r w:rsidRPr="002F12F8">
        <w:rPr>
          <w:rFonts w:cstheme="minorHAnsi"/>
          <w:b/>
          <w:bCs/>
          <w:sz w:val="20"/>
          <w:szCs w:val="20"/>
        </w:rPr>
        <w:t>2</w:t>
      </w:r>
      <w:r w:rsidRPr="00370DC5">
        <w:rPr>
          <w:rFonts w:cstheme="minorHAnsi"/>
          <w:sz w:val="20"/>
          <w:szCs w:val="20"/>
        </w:rPr>
        <w:t xml:space="preserve"> Østlige Limfjord 6,29 9     </w:t>
      </w:r>
      <w:r w:rsidRPr="002F12F8">
        <w:rPr>
          <w:rFonts w:cstheme="minorHAnsi"/>
          <w:b/>
          <w:bCs/>
          <w:sz w:val="20"/>
          <w:szCs w:val="20"/>
        </w:rPr>
        <w:t xml:space="preserve">3 </w:t>
      </w:r>
      <w:r w:rsidRPr="00370DC5">
        <w:rPr>
          <w:rFonts w:cstheme="minorHAnsi"/>
          <w:sz w:val="20"/>
          <w:szCs w:val="20"/>
        </w:rPr>
        <w:t xml:space="preserve">Vestjyske Fjorde 5,92 8    </w:t>
      </w:r>
      <w:r w:rsidRPr="002F12F8">
        <w:rPr>
          <w:rFonts w:cstheme="minorHAnsi"/>
          <w:b/>
          <w:bCs/>
          <w:sz w:val="20"/>
          <w:szCs w:val="20"/>
        </w:rPr>
        <w:t xml:space="preserve"> 4</w:t>
      </w:r>
      <w:r w:rsidRPr="00370DC5">
        <w:rPr>
          <w:rFonts w:cstheme="minorHAnsi"/>
          <w:sz w:val="20"/>
          <w:szCs w:val="20"/>
        </w:rPr>
        <w:t xml:space="preserve"> Østjylland Nord 8,40 12 </w:t>
      </w:r>
      <w:r>
        <w:rPr>
          <w:rFonts w:cstheme="minorHAnsi"/>
          <w:sz w:val="20"/>
          <w:szCs w:val="20"/>
        </w:rPr>
        <w:t xml:space="preserve"> </w:t>
      </w:r>
      <w:r w:rsidRPr="002F12F8">
        <w:rPr>
          <w:rFonts w:cstheme="minorHAnsi"/>
          <w:b/>
          <w:bCs/>
          <w:sz w:val="20"/>
          <w:szCs w:val="20"/>
        </w:rPr>
        <w:t>5</w:t>
      </w:r>
      <w:r w:rsidRPr="00370DC5">
        <w:rPr>
          <w:rFonts w:cstheme="minorHAnsi"/>
          <w:sz w:val="20"/>
          <w:szCs w:val="20"/>
        </w:rPr>
        <w:t xml:space="preserve"> Østjylland Midt 8,48 12    </w:t>
      </w:r>
      <w:r w:rsidRPr="002F12F8">
        <w:rPr>
          <w:rFonts w:cstheme="minorHAnsi"/>
          <w:b/>
          <w:bCs/>
          <w:sz w:val="20"/>
          <w:szCs w:val="20"/>
        </w:rPr>
        <w:t xml:space="preserve"> 6</w:t>
      </w:r>
      <w:r w:rsidRPr="00370DC5">
        <w:rPr>
          <w:rFonts w:cstheme="minorHAnsi"/>
          <w:sz w:val="20"/>
          <w:szCs w:val="20"/>
        </w:rPr>
        <w:t xml:space="preserve"> Østjylland Syd 4,59 6     </w:t>
      </w:r>
      <w:r>
        <w:rPr>
          <w:rFonts w:cstheme="minorHAnsi"/>
          <w:sz w:val="20"/>
          <w:szCs w:val="20"/>
        </w:rPr>
        <w:t xml:space="preserve">    </w:t>
      </w:r>
      <w:r w:rsidRPr="002F12F8">
        <w:rPr>
          <w:rFonts w:cstheme="minorHAnsi"/>
          <w:b/>
          <w:bCs/>
          <w:sz w:val="20"/>
          <w:szCs w:val="20"/>
        </w:rPr>
        <w:t xml:space="preserve">7 </w:t>
      </w:r>
      <w:r w:rsidRPr="00370DC5">
        <w:rPr>
          <w:rFonts w:cstheme="minorHAnsi"/>
          <w:sz w:val="20"/>
          <w:szCs w:val="20"/>
        </w:rPr>
        <w:t xml:space="preserve">Sønderjylland Øst 6,89 10     </w:t>
      </w:r>
      <w:r w:rsidRPr="002F12F8">
        <w:rPr>
          <w:rFonts w:cstheme="minorHAnsi"/>
          <w:b/>
          <w:bCs/>
          <w:sz w:val="20"/>
          <w:szCs w:val="20"/>
        </w:rPr>
        <w:t>8</w:t>
      </w:r>
      <w:r w:rsidRPr="00370DC5">
        <w:rPr>
          <w:rFonts w:cstheme="minorHAnsi"/>
          <w:sz w:val="20"/>
          <w:szCs w:val="20"/>
        </w:rPr>
        <w:t xml:space="preserve"> Fyn Nord 8,03 11     </w:t>
      </w:r>
      <w:r>
        <w:rPr>
          <w:rFonts w:cstheme="minorHAnsi"/>
          <w:sz w:val="20"/>
          <w:szCs w:val="20"/>
        </w:rPr>
        <w:t xml:space="preserve">    </w:t>
      </w:r>
      <w:r w:rsidRPr="002F12F8">
        <w:rPr>
          <w:rFonts w:cstheme="minorHAnsi"/>
          <w:b/>
          <w:bCs/>
          <w:sz w:val="20"/>
          <w:szCs w:val="20"/>
        </w:rPr>
        <w:t>9</w:t>
      </w:r>
      <w:r w:rsidRPr="00370DC5">
        <w:rPr>
          <w:rFonts w:cstheme="minorHAnsi"/>
          <w:sz w:val="20"/>
          <w:szCs w:val="20"/>
        </w:rPr>
        <w:t xml:space="preserve"> Fyn Syd 7,89 11    </w:t>
      </w:r>
      <w:r w:rsidRPr="002F12F8">
        <w:rPr>
          <w:rFonts w:cstheme="minorHAnsi"/>
          <w:b/>
          <w:bCs/>
          <w:sz w:val="20"/>
          <w:szCs w:val="20"/>
        </w:rPr>
        <w:t xml:space="preserve"> 10</w:t>
      </w:r>
      <w:r w:rsidRPr="00370DC5">
        <w:rPr>
          <w:rFonts w:cstheme="minorHAnsi"/>
          <w:sz w:val="20"/>
          <w:szCs w:val="20"/>
        </w:rPr>
        <w:t xml:space="preserve"> Sjællands Fjorde 8,18 11     </w:t>
      </w:r>
      <w:r>
        <w:rPr>
          <w:rFonts w:cstheme="minorHAnsi"/>
          <w:sz w:val="20"/>
          <w:szCs w:val="20"/>
        </w:rPr>
        <w:t xml:space="preserve">    </w:t>
      </w:r>
      <w:r w:rsidRPr="002F12F8">
        <w:rPr>
          <w:rFonts w:cstheme="minorHAnsi"/>
          <w:b/>
          <w:bCs/>
          <w:sz w:val="20"/>
          <w:szCs w:val="20"/>
        </w:rPr>
        <w:t>11</w:t>
      </w:r>
      <w:r w:rsidRPr="00370DC5">
        <w:rPr>
          <w:rFonts w:cstheme="minorHAnsi"/>
          <w:sz w:val="20"/>
          <w:szCs w:val="20"/>
        </w:rPr>
        <w:t xml:space="preserve"> Øresund 11,76 16     </w:t>
      </w:r>
      <w:r w:rsidRPr="002F12F8">
        <w:rPr>
          <w:rFonts w:cstheme="minorHAnsi"/>
          <w:b/>
          <w:bCs/>
          <w:sz w:val="20"/>
          <w:szCs w:val="20"/>
        </w:rPr>
        <w:t>12</w:t>
      </w:r>
      <w:r w:rsidRPr="00370DC5">
        <w:rPr>
          <w:rFonts w:cstheme="minorHAnsi"/>
          <w:sz w:val="20"/>
          <w:szCs w:val="20"/>
        </w:rPr>
        <w:t xml:space="preserve"> Sydsjælland 7,33 10     </w:t>
      </w:r>
      <w:r>
        <w:rPr>
          <w:rFonts w:cstheme="minorHAnsi"/>
          <w:sz w:val="20"/>
          <w:szCs w:val="20"/>
        </w:rPr>
        <w:t xml:space="preserve">      </w:t>
      </w:r>
      <w:r w:rsidRPr="002F12F8">
        <w:rPr>
          <w:rFonts w:cstheme="minorHAnsi"/>
          <w:b/>
          <w:bCs/>
          <w:sz w:val="20"/>
          <w:szCs w:val="20"/>
        </w:rPr>
        <w:t>13</w:t>
      </w:r>
      <w:r w:rsidRPr="00370DC5">
        <w:rPr>
          <w:rFonts w:cstheme="minorHAnsi"/>
          <w:sz w:val="20"/>
          <w:szCs w:val="20"/>
        </w:rPr>
        <w:t xml:space="preserve"> Vestsjælland 2,92 4  </w:t>
      </w:r>
      <w:r w:rsidRPr="002F12F8">
        <w:rPr>
          <w:rFonts w:cstheme="minorHAnsi"/>
          <w:b/>
          <w:bCs/>
          <w:sz w:val="20"/>
          <w:szCs w:val="20"/>
        </w:rPr>
        <w:t>14</w:t>
      </w:r>
      <w:r w:rsidRPr="00370DC5">
        <w:rPr>
          <w:rFonts w:cstheme="minorHAnsi"/>
          <w:sz w:val="20"/>
          <w:szCs w:val="20"/>
        </w:rPr>
        <w:t xml:space="preserve"> Lolland 5,79 8     </w:t>
      </w:r>
      <w:r>
        <w:rPr>
          <w:rFonts w:cstheme="minorHAnsi"/>
          <w:sz w:val="20"/>
          <w:szCs w:val="20"/>
        </w:rPr>
        <w:t xml:space="preserve">               </w:t>
      </w:r>
      <w:r w:rsidRPr="002F12F8">
        <w:rPr>
          <w:rFonts w:cstheme="minorHAnsi"/>
          <w:b/>
          <w:bCs/>
          <w:sz w:val="20"/>
          <w:szCs w:val="20"/>
        </w:rPr>
        <w:t>15</w:t>
      </w:r>
      <w:r w:rsidRPr="00370DC5">
        <w:rPr>
          <w:rFonts w:cstheme="minorHAnsi"/>
          <w:sz w:val="20"/>
          <w:szCs w:val="20"/>
        </w:rPr>
        <w:t xml:space="preserve"> Falster 2,66 4    </w:t>
      </w:r>
      <w:r w:rsidRPr="00BC44F4">
        <w:rPr>
          <w:rFonts w:cstheme="minorHAnsi"/>
          <w:b/>
          <w:bCs/>
          <w:sz w:val="20"/>
          <w:szCs w:val="20"/>
        </w:rPr>
        <w:t xml:space="preserve"> 16</w:t>
      </w:r>
      <w:r w:rsidRPr="00370DC5">
        <w:rPr>
          <w:rFonts w:cstheme="minorHAnsi"/>
          <w:sz w:val="20"/>
          <w:szCs w:val="20"/>
        </w:rPr>
        <w:t xml:space="preserve"> Bornholm 1,75 2</w:t>
      </w:r>
      <w:r w:rsidRPr="00370DC5">
        <w:rPr>
          <w:rFonts w:cstheme="minorHAnsi"/>
          <w:b/>
          <w:bCs/>
          <w:sz w:val="20"/>
          <w:szCs w:val="20"/>
        </w:rPr>
        <w:t xml:space="preserve"> </w:t>
      </w:r>
      <w:r w:rsidRPr="00BC44F4">
        <w:rPr>
          <w:rFonts w:cstheme="minorHAnsi"/>
          <w:b/>
          <w:bCs/>
          <w:sz w:val="20"/>
          <w:szCs w:val="20"/>
          <w:u w:val="single"/>
        </w:rPr>
        <w:t xml:space="preserve">                                                                        </w:t>
      </w:r>
      <w:r>
        <w:rPr>
          <w:rFonts w:cstheme="minorHAnsi"/>
          <w:b/>
          <w:bCs/>
          <w:sz w:val="20"/>
          <w:szCs w:val="20"/>
          <w:u w:val="single"/>
        </w:rPr>
        <w:t xml:space="preserve"> </w:t>
      </w:r>
      <w:r w:rsidRPr="00BC44F4">
        <w:rPr>
          <w:rFonts w:cstheme="minorHAnsi"/>
          <w:b/>
          <w:bCs/>
          <w:sz w:val="20"/>
          <w:szCs w:val="20"/>
          <w:u w:val="single"/>
        </w:rPr>
        <w:t xml:space="preserve"> </w:t>
      </w:r>
      <w:r w:rsidRPr="00370DC5">
        <w:rPr>
          <w:rFonts w:cstheme="minorHAnsi"/>
          <w:sz w:val="20"/>
          <w:szCs w:val="20"/>
        </w:rPr>
        <w:t xml:space="preserve">Bornholm får ikke tildelt ål hvert år på grund af transportomkostningerne, men bliver til gengæld kompenseret, så Bornholm modtager det antal ål, Tabel 2 foreskriver. Bornholm fik sidste gang tildelt ål i 2019.  </w:t>
      </w:r>
    </w:p>
    <w:p w14:paraId="3860EAE8"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73DF549A"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59D337EE"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2FB013E9"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2F41E0EF"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123D0C87"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32917257"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6E8580BB"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63743DD0"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6DAC1102"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3B9D3517"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415C70ED"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4B7DEEB8"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49F85F4C"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5F64CA58"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58975AB6"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621ED939"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5837A9FE"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0048C03E"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642F9C96"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6B837E0C"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2034257A"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7260BABC"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11B8F37F"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bookmarkStart w:id="0" w:name="_Hlk107931493"/>
    </w:p>
    <w:p w14:paraId="6E58AF36" w14:textId="77777777" w:rsidR="002F12F8" w:rsidRDefault="002F12F8" w:rsidP="00370DC5">
      <w:pPr>
        <w:spacing w:after="0" w:line="240" w:lineRule="auto"/>
        <w:rPr>
          <w:rFonts w:eastAsia="Times New Roman" w:cstheme="minorHAnsi"/>
          <w:color w:val="323232"/>
          <w:sz w:val="20"/>
          <w:szCs w:val="20"/>
          <w:bdr w:val="none" w:sz="0" w:space="0" w:color="auto" w:frame="1"/>
          <w:lang w:eastAsia="da-DK"/>
        </w:rPr>
      </w:pPr>
    </w:p>
    <w:p w14:paraId="4823FBFE"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5A1964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9E7FF29"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E258966"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781AB5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E883CD8"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F953958"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9C0DBB9"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ED86B1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C1C9A1C"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0C86CC2"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BD64717"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D675F15"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A4E2DA8"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29E9017"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CB79D93"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160A807"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35E2F25"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8A9C801"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94DF560"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75C66A41"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B09E362"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EE89F8F"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05057A2"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196B3C7"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B6929FD"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E0AB401"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1BDA2BE"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5F801B0"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CCA21D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60B6E152"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10F9EEC"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C228DFD"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3C00CA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61C04F09"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8D9F24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7FC0BA0"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881521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C6A82F1"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DF63459"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DA8EAD0"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511E4EC"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7DFD716B"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B9BE5CE"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16B6B032"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7918401B"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31347927"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5A25936E"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0E63CBF"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B5FF923"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D9E82EA"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6B86441C"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422173C4"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8F71851"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4B842CE"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0D85C4A9" w14:textId="77777777" w:rsidR="00D836DC" w:rsidRDefault="00D836DC" w:rsidP="00370DC5">
      <w:pPr>
        <w:spacing w:after="0" w:line="240" w:lineRule="auto"/>
        <w:rPr>
          <w:rFonts w:eastAsia="Times New Roman" w:cstheme="minorHAnsi"/>
          <w:color w:val="323232"/>
          <w:sz w:val="20"/>
          <w:szCs w:val="20"/>
          <w:bdr w:val="none" w:sz="0" w:space="0" w:color="auto" w:frame="1"/>
          <w:lang w:eastAsia="da-DK"/>
        </w:rPr>
      </w:pPr>
    </w:p>
    <w:p w14:paraId="252A6D6F" w14:textId="4BE78FD5" w:rsidR="00370DC5" w:rsidRDefault="0099602F" w:rsidP="00370DC5">
      <w:pPr>
        <w:spacing w:after="0" w:line="240" w:lineRule="auto"/>
        <w:rPr>
          <w:rFonts w:eastAsia="Times New Roman" w:cstheme="minorHAnsi"/>
          <w:b/>
          <w:bCs/>
          <w:color w:val="323232"/>
          <w:sz w:val="20"/>
          <w:szCs w:val="20"/>
          <w:bdr w:val="none" w:sz="0" w:space="0" w:color="auto" w:frame="1"/>
          <w:lang w:eastAsia="da-DK"/>
        </w:rPr>
      </w:pPr>
      <w:r w:rsidRPr="0099602F">
        <w:rPr>
          <w:rFonts w:eastAsia="Times New Roman" w:cstheme="minorHAnsi"/>
          <w:color w:val="323232"/>
          <w:sz w:val="20"/>
          <w:szCs w:val="20"/>
          <w:bdr w:val="none" w:sz="0" w:space="0" w:color="auto" w:frame="1"/>
          <w:lang w:eastAsia="da-DK"/>
        </w:rPr>
        <w:t>Flere undersøgelser underbygger, at ål fra udsætninger vokser og bliver til blankål, der søger mod havet.</w:t>
      </w:r>
      <w:r w:rsidR="00C31954" w:rsidRPr="00370DC5">
        <w:rPr>
          <w:rFonts w:eastAsia="Times New Roman" w:cstheme="minorHAnsi"/>
          <w:color w:val="323232"/>
          <w:sz w:val="20"/>
          <w:szCs w:val="20"/>
          <w:bdr w:val="none" w:sz="0" w:space="0" w:color="auto" w:frame="1"/>
          <w:lang w:eastAsia="da-DK"/>
        </w:rPr>
        <w:t xml:space="preserve">                                                                                      </w:t>
      </w:r>
      <w:r w:rsidRPr="00370DC5">
        <w:rPr>
          <w:rFonts w:eastAsia="Times New Roman" w:cstheme="minorHAnsi"/>
          <w:b/>
          <w:bCs/>
          <w:color w:val="323232"/>
          <w:sz w:val="20"/>
          <w:szCs w:val="20"/>
          <w:bdr w:val="none" w:sz="0" w:space="0" w:color="auto" w:frame="1"/>
          <w:lang w:eastAsia="da-DK"/>
        </w:rPr>
        <w:t xml:space="preserve"> </w:t>
      </w:r>
    </w:p>
    <w:p w14:paraId="57BC863E" w14:textId="132022DA" w:rsidR="0099602F" w:rsidRPr="0099602F" w:rsidRDefault="0099602F" w:rsidP="00370DC5">
      <w:pPr>
        <w:spacing w:after="0" w:line="240" w:lineRule="auto"/>
        <w:rPr>
          <w:rFonts w:eastAsia="Times New Roman" w:cstheme="minorHAnsi"/>
          <w:color w:val="323232"/>
          <w:sz w:val="20"/>
          <w:szCs w:val="20"/>
          <w:lang w:eastAsia="da-DK"/>
        </w:rPr>
      </w:pPr>
      <w:r w:rsidRPr="0099602F">
        <w:rPr>
          <w:rFonts w:eastAsia="Times New Roman" w:cstheme="minorHAnsi"/>
          <w:b/>
          <w:bCs/>
          <w:color w:val="323232"/>
          <w:sz w:val="20"/>
          <w:szCs w:val="20"/>
          <w:bdr w:val="none" w:sz="0" w:space="0" w:color="auto" w:frame="1"/>
          <w:lang w:eastAsia="da-DK"/>
        </w:rPr>
        <w:t>Hvordan beskytter/forvalter man ålebestanden?</w:t>
      </w:r>
    </w:p>
    <w:p w14:paraId="2F81C702" w14:textId="77777777" w:rsidR="00C31954" w:rsidRPr="00370DC5" w:rsidRDefault="0099602F" w:rsidP="00370DC5">
      <w:pPr>
        <w:spacing w:after="0" w:line="240" w:lineRule="auto"/>
        <w:rPr>
          <w:rFonts w:cstheme="minorHAnsi"/>
          <w:b/>
          <w:bCs/>
          <w:sz w:val="20"/>
          <w:szCs w:val="20"/>
        </w:rPr>
      </w:pPr>
      <w:r w:rsidRPr="0099602F">
        <w:rPr>
          <w:rFonts w:eastAsia="Times New Roman" w:cstheme="minorHAnsi"/>
          <w:color w:val="323232"/>
          <w:sz w:val="20"/>
          <w:szCs w:val="20"/>
          <w:bdr w:val="none" w:sz="0" w:space="0" w:color="auto" w:frame="1"/>
          <w:lang w:eastAsia="da-DK"/>
        </w:rPr>
        <w:t>Nedgangen i mængden af glasål har betydet, at EU har vedtaget en europæisk genopretningsplan for ål, der sigter mod at beskytte og styrke ålebestanden.</w:t>
      </w:r>
      <w:r w:rsidRPr="0099602F">
        <w:rPr>
          <w:rFonts w:eastAsia="Times New Roman" w:cstheme="minorHAnsi"/>
          <w:color w:val="B20000"/>
          <w:sz w:val="20"/>
          <w:szCs w:val="20"/>
          <w:bdr w:val="none" w:sz="0" w:space="0" w:color="auto" w:frame="1"/>
          <w:lang w:eastAsia="da-DK"/>
        </w:rPr>
        <w:br/>
      </w:r>
      <w:hyperlink r:id="rId6" w:history="1">
        <w:r w:rsidRPr="0099602F">
          <w:rPr>
            <w:rFonts w:eastAsia="Times New Roman" w:cstheme="minorHAnsi"/>
            <w:b/>
            <w:bCs/>
            <w:color w:val="0070C0"/>
            <w:sz w:val="24"/>
            <w:szCs w:val="24"/>
            <w:u w:val="single"/>
            <w:bdr w:val="none" w:sz="0" w:space="0" w:color="auto" w:frame="1"/>
            <w:lang w:eastAsia="da-DK"/>
          </w:rPr>
          <w:t>Her udsættes ål i vandløb, søer og kystnære områder 2022</w:t>
        </w:r>
      </w:hyperlink>
      <w:r w:rsidR="00C31954" w:rsidRPr="00370DC5">
        <w:rPr>
          <w:rFonts w:eastAsia="Times New Roman" w:cstheme="minorHAnsi"/>
          <w:color w:val="323232"/>
          <w:sz w:val="20"/>
          <w:szCs w:val="20"/>
          <w:bdr w:val="none" w:sz="0" w:space="0" w:color="auto" w:frame="1"/>
          <w:lang w:eastAsia="da-DK"/>
        </w:rPr>
        <w:br/>
      </w:r>
      <w:r w:rsidR="00C31954" w:rsidRPr="00370DC5">
        <w:rPr>
          <w:rFonts w:cstheme="minorHAnsi"/>
          <w:b/>
          <w:bCs/>
          <w:sz w:val="20"/>
          <w:szCs w:val="20"/>
        </w:rPr>
        <w:t xml:space="preserve">Tabellen viser, hvor mange ål hvert hovedområde er tildelt. Fordeling i procent tager udgangspunkt i fritidsfisker-licensernes fordeling på landsplan. </w:t>
      </w:r>
    </w:p>
    <w:p w14:paraId="740DCB02" w14:textId="64EC5F53" w:rsidR="00C31954" w:rsidRPr="00370DC5" w:rsidRDefault="00370DC5" w:rsidP="00370DC5">
      <w:pPr>
        <w:spacing w:after="0" w:line="240" w:lineRule="auto"/>
        <w:rPr>
          <w:rFonts w:cstheme="minorHAnsi"/>
          <w:b/>
          <w:bCs/>
          <w:sz w:val="20"/>
          <w:szCs w:val="20"/>
        </w:rPr>
      </w:pPr>
      <w:r w:rsidRPr="00370DC5">
        <w:rPr>
          <w:rFonts w:cstheme="minorHAnsi"/>
          <w:b/>
          <w:bCs/>
          <w:sz w:val="20"/>
          <w:szCs w:val="20"/>
        </w:rPr>
        <w:t>Hovedområde</w:t>
      </w:r>
      <w:r w:rsidR="00C31954" w:rsidRPr="00370DC5">
        <w:rPr>
          <w:rFonts w:cstheme="minorHAnsi"/>
          <w:b/>
          <w:bCs/>
          <w:sz w:val="20"/>
          <w:szCs w:val="20"/>
        </w:rPr>
        <w:t xml:space="preserve"> Navn Fordeling (%) Antal tusinde </w:t>
      </w:r>
    </w:p>
    <w:p w14:paraId="353E0841" w14:textId="4E87C7F7" w:rsidR="00370DC5" w:rsidRPr="00370DC5" w:rsidRDefault="00C31954" w:rsidP="00370DC5">
      <w:pPr>
        <w:spacing w:after="0" w:line="240" w:lineRule="auto"/>
        <w:rPr>
          <w:rFonts w:cstheme="minorHAnsi"/>
          <w:sz w:val="20"/>
          <w:szCs w:val="20"/>
        </w:rPr>
      </w:pPr>
      <w:r w:rsidRPr="002F12F8">
        <w:rPr>
          <w:rFonts w:cstheme="minorHAnsi"/>
          <w:b/>
          <w:bCs/>
          <w:sz w:val="20"/>
          <w:szCs w:val="20"/>
        </w:rPr>
        <w:t>1</w:t>
      </w:r>
      <w:r w:rsidRPr="00370DC5">
        <w:rPr>
          <w:rFonts w:cstheme="minorHAnsi"/>
          <w:sz w:val="20"/>
          <w:szCs w:val="20"/>
        </w:rPr>
        <w:t xml:space="preserve"> Vestlige Limfjord 3,13 4</w:t>
      </w:r>
      <w:r w:rsidRPr="00370DC5">
        <w:rPr>
          <w:rFonts w:cstheme="minorHAnsi"/>
          <w:sz w:val="20"/>
          <w:szCs w:val="20"/>
        </w:rPr>
        <w:t xml:space="preserve">       </w:t>
      </w:r>
      <w:r w:rsidRPr="00370DC5">
        <w:rPr>
          <w:rFonts w:cstheme="minorHAnsi"/>
          <w:sz w:val="20"/>
          <w:szCs w:val="20"/>
        </w:rPr>
        <w:t xml:space="preserve"> </w:t>
      </w:r>
      <w:r w:rsidRPr="002F12F8">
        <w:rPr>
          <w:rFonts w:cstheme="minorHAnsi"/>
          <w:b/>
          <w:bCs/>
          <w:sz w:val="20"/>
          <w:szCs w:val="20"/>
        </w:rPr>
        <w:t>2</w:t>
      </w:r>
      <w:r w:rsidRPr="00370DC5">
        <w:rPr>
          <w:rFonts w:cstheme="minorHAnsi"/>
          <w:sz w:val="20"/>
          <w:szCs w:val="20"/>
        </w:rPr>
        <w:t xml:space="preserve"> Østlige Limfjord 6,29 9 </w:t>
      </w:r>
      <w:r w:rsidRPr="00370DC5">
        <w:rPr>
          <w:rFonts w:cstheme="minorHAnsi"/>
          <w:sz w:val="20"/>
          <w:szCs w:val="20"/>
        </w:rPr>
        <w:t xml:space="preserve">    </w:t>
      </w:r>
      <w:r w:rsidRPr="002F12F8">
        <w:rPr>
          <w:rFonts w:cstheme="minorHAnsi"/>
          <w:b/>
          <w:bCs/>
          <w:sz w:val="20"/>
          <w:szCs w:val="20"/>
        </w:rPr>
        <w:t xml:space="preserve">3 </w:t>
      </w:r>
      <w:r w:rsidRPr="00370DC5">
        <w:rPr>
          <w:rFonts w:cstheme="minorHAnsi"/>
          <w:sz w:val="20"/>
          <w:szCs w:val="20"/>
        </w:rPr>
        <w:t xml:space="preserve">Vestjyske Fjorde 5,92 8 </w:t>
      </w:r>
      <w:r w:rsidRPr="00370DC5">
        <w:rPr>
          <w:rFonts w:cstheme="minorHAnsi"/>
          <w:sz w:val="20"/>
          <w:szCs w:val="20"/>
        </w:rPr>
        <w:t xml:space="preserve">   </w:t>
      </w:r>
      <w:r w:rsidRPr="002F12F8">
        <w:rPr>
          <w:rFonts w:cstheme="minorHAnsi"/>
          <w:b/>
          <w:bCs/>
          <w:sz w:val="20"/>
          <w:szCs w:val="20"/>
        </w:rPr>
        <w:t xml:space="preserve"> </w:t>
      </w:r>
      <w:r w:rsidRPr="002F12F8">
        <w:rPr>
          <w:rFonts w:cstheme="minorHAnsi"/>
          <w:b/>
          <w:bCs/>
          <w:sz w:val="20"/>
          <w:szCs w:val="20"/>
        </w:rPr>
        <w:t>4</w:t>
      </w:r>
      <w:r w:rsidRPr="00370DC5">
        <w:rPr>
          <w:rFonts w:cstheme="minorHAnsi"/>
          <w:sz w:val="20"/>
          <w:szCs w:val="20"/>
        </w:rPr>
        <w:t xml:space="preserve"> Østjylland Nord 8,40 12 </w:t>
      </w:r>
      <w:r w:rsidR="002F12F8">
        <w:rPr>
          <w:rFonts w:cstheme="minorHAnsi"/>
          <w:sz w:val="20"/>
          <w:szCs w:val="20"/>
        </w:rPr>
        <w:t xml:space="preserve"> </w:t>
      </w:r>
      <w:r w:rsidRPr="002F12F8">
        <w:rPr>
          <w:rFonts w:cstheme="minorHAnsi"/>
          <w:b/>
          <w:bCs/>
          <w:sz w:val="20"/>
          <w:szCs w:val="20"/>
        </w:rPr>
        <w:t>5</w:t>
      </w:r>
      <w:r w:rsidRPr="00370DC5">
        <w:rPr>
          <w:rFonts w:cstheme="minorHAnsi"/>
          <w:sz w:val="20"/>
          <w:szCs w:val="20"/>
        </w:rPr>
        <w:t xml:space="preserve"> Østjylland Midt 8,48 12 </w:t>
      </w:r>
      <w:r w:rsidRPr="00370DC5">
        <w:rPr>
          <w:rFonts w:cstheme="minorHAnsi"/>
          <w:sz w:val="20"/>
          <w:szCs w:val="20"/>
        </w:rPr>
        <w:t xml:space="preserve">   </w:t>
      </w:r>
      <w:r w:rsidRPr="002F12F8">
        <w:rPr>
          <w:rFonts w:cstheme="minorHAnsi"/>
          <w:b/>
          <w:bCs/>
          <w:sz w:val="20"/>
          <w:szCs w:val="20"/>
        </w:rPr>
        <w:t xml:space="preserve"> </w:t>
      </w:r>
      <w:r w:rsidRPr="002F12F8">
        <w:rPr>
          <w:rFonts w:cstheme="minorHAnsi"/>
          <w:b/>
          <w:bCs/>
          <w:sz w:val="20"/>
          <w:szCs w:val="20"/>
        </w:rPr>
        <w:t>6</w:t>
      </w:r>
      <w:r w:rsidRPr="00370DC5">
        <w:rPr>
          <w:rFonts w:cstheme="minorHAnsi"/>
          <w:sz w:val="20"/>
          <w:szCs w:val="20"/>
        </w:rPr>
        <w:t xml:space="preserve"> Østjylland Syd 4,59 6</w:t>
      </w:r>
      <w:r w:rsidRPr="00370DC5">
        <w:rPr>
          <w:rFonts w:cstheme="minorHAnsi"/>
          <w:sz w:val="20"/>
          <w:szCs w:val="20"/>
        </w:rPr>
        <w:t xml:space="preserve">    </w:t>
      </w:r>
      <w:r w:rsidRPr="00370DC5">
        <w:rPr>
          <w:rFonts w:cstheme="minorHAnsi"/>
          <w:sz w:val="20"/>
          <w:szCs w:val="20"/>
        </w:rPr>
        <w:t xml:space="preserve"> </w:t>
      </w:r>
      <w:r w:rsidR="00370DC5">
        <w:rPr>
          <w:rFonts w:cstheme="minorHAnsi"/>
          <w:sz w:val="20"/>
          <w:szCs w:val="20"/>
        </w:rPr>
        <w:t xml:space="preserve">    </w:t>
      </w:r>
      <w:r w:rsidRPr="002F12F8">
        <w:rPr>
          <w:rFonts w:cstheme="minorHAnsi"/>
          <w:b/>
          <w:bCs/>
          <w:sz w:val="20"/>
          <w:szCs w:val="20"/>
        </w:rPr>
        <w:t xml:space="preserve">7 </w:t>
      </w:r>
      <w:r w:rsidRPr="00370DC5">
        <w:rPr>
          <w:rFonts w:cstheme="minorHAnsi"/>
          <w:sz w:val="20"/>
          <w:szCs w:val="20"/>
        </w:rPr>
        <w:t xml:space="preserve">Sønderjylland Øst 6,89 10 </w:t>
      </w:r>
      <w:r w:rsidRPr="00370DC5">
        <w:rPr>
          <w:rFonts w:cstheme="minorHAnsi"/>
          <w:sz w:val="20"/>
          <w:szCs w:val="20"/>
        </w:rPr>
        <w:t xml:space="preserve">    </w:t>
      </w:r>
      <w:r w:rsidRPr="002F12F8">
        <w:rPr>
          <w:rFonts w:cstheme="minorHAnsi"/>
          <w:b/>
          <w:bCs/>
          <w:sz w:val="20"/>
          <w:szCs w:val="20"/>
        </w:rPr>
        <w:t>8</w:t>
      </w:r>
      <w:r w:rsidRPr="00370DC5">
        <w:rPr>
          <w:rFonts w:cstheme="minorHAnsi"/>
          <w:sz w:val="20"/>
          <w:szCs w:val="20"/>
        </w:rPr>
        <w:t xml:space="preserve"> Fyn Nord 8,03 11 </w:t>
      </w:r>
      <w:r w:rsidRPr="00370DC5">
        <w:rPr>
          <w:rFonts w:cstheme="minorHAnsi"/>
          <w:sz w:val="20"/>
          <w:szCs w:val="20"/>
        </w:rPr>
        <w:t xml:space="preserve">    </w:t>
      </w:r>
      <w:r w:rsidR="00370DC5">
        <w:rPr>
          <w:rFonts w:cstheme="minorHAnsi"/>
          <w:sz w:val="20"/>
          <w:szCs w:val="20"/>
        </w:rPr>
        <w:t xml:space="preserve">    </w:t>
      </w:r>
      <w:r w:rsidRPr="002F12F8">
        <w:rPr>
          <w:rFonts w:cstheme="minorHAnsi"/>
          <w:b/>
          <w:bCs/>
          <w:sz w:val="20"/>
          <w:szCs w:val="20"/>
        </w:rPr>
        <w:t>9</w:t>
      </w:r>
      <w:r w:rsidRPr="00370DC5">
        <w:rPr>
          <w:rFonts w:cstheme="minorHAnsi"/>
          <w:sz w:val="20"/>
          <w:szCs w:val="20"/>
        </w:rPr>
        <w:t xml:space="preserve"> Fyn Syd 7,89 11 </w:t>
      </w:r>
      <w:r w:rsidRPr="00370DC5">
        <w:rPr>
          <w:rFonts w:cstheme="minorHAnsi"/>
          <w:sz w:val="20"/>
          <w:szCs w:val="20"/>
        </w:rPr>
        <w:t xml:space="preserve">   </w:t>
      </w:r>
      <w:r w:rsidRPr="002F12F8">
        <w:rPr>
          <w:rFonts w:cstheme="minorHAnsi"/>
          <w:b/>
          <w:bCs/>
          <w:sz w:val="20"/>
          <w:szCs w:val="20"/>
        </w:rPr>
        <w:t xml:space="preserve"> </w:t>
      </w:r>
      <w:r w:rsidRPr="002F12F8">
        <w:rPr>
          <w:rFonts w:cstheme="minorHAnsi"/>
          <w:b/>
          <w:bCs/>
          <w:sz w:val="20"/>
          <w:szCs w:val="20"/>
        </w:rPr>
        <w:t>10</w:t>
      </w:r>
      <w:r w:rsidRPr="00370DC5">
        <w:rPr>
          <w:rFonts w:cstheme="minorHAnsi"/>
          <w:sz w:val="20"/>
          <w:szCs w:val="20"/>
        </w:rPr>
        <w:t xml:space="preserve"> Sjællands Fjorde 8,18 11 </w:t>
      </w:r>
      <w:r w:rsidRPr="00370DC5">
        <w:rPr>
          <w:rFonts w:cstheme="minorHAnsi"/>
          <w:sz w:val="20"/>
          <w:szCs w:val="20"/>
        </w:rPr>
        <w:t xml:space="preserve">    </w:t>
      </w:r>
      <w:r w:rsidR="00370DC5">
        <w:rPr>
          <w:rFonts w:cstheme="minorHAnsi"/>
          <w:sz w:val="20"/>
          <w:szCs w:val="20"/>
        </w:rPr>
        <w:t xml:space="preserve">    </w:t>
      </w:r>
      <w:r w:rsidRPr="002F12F8">
        <w:rPr>
          <w:rFonts w:cstheme="minorHAnsi"/>
          <w:b/>
          <w:bCs/>
          <w:sz w:val="20"/>
          <w:szCs w:val="20"/>
        </w:rPr>
        <w:t>11</w:t>
      </w:r>
      <w:r w:rsidRPr="00370DC5">
        <w:rPr>
          <w:rFonts w:cstheme="minorHAnsi"/>
          <w:sz w:val="20"/>
          <w:szCs w:val="20"/>
        </w:rPr>
        <w:t xml:space="preserve"> Øresund 11,76 16 </w:t>
      </w:r>
      <w:r w:rsidRPr="00370DC5">
        <w:rPr>
          <w:rFonts w:cstheme="minorHAnsi"/>
          <w:sz w:val="20"/>
          <w:szCs w:val="20"/>
        </w:rPr>
        <w:t xml:space="preserve">    </w:t>
      </w:r>
      <w:r w:rsidRPr="002F12F8">
        <w:rPr>
          <w:rFonts w:cstheme="minorHAnsi"/>
          <w:b/>
          <w:bCs/>
          <w:sz w:val="20"/>
          <w:szCs w:val="20"/>
        </w:rPr>
        <w:t>12</w:t>
      </w:r>
      <w:r w:rsidRPr="00370DC5">
        <w:rPr>
          <w:rFonts w:cstheme="minorHAnsi"/>
          <w:sz w:val="20"/>
          <w:szCs w:val="20"/>
        </w:rPr>
        <w:t xml:space="preserve"> Sydsjælland 7,33 10 </w:t>
      </w:r>
      <w:r w:rsidRPr="00370DC5">
        <w:rPr>
          <w:rFonts w:cstheme="minorHAnsi"/>
          <w:sz w:val="20"/>
          <w:szCs w:val="20"/>
        </w:rPr>
        <w:t xml:space="preserve">    </w:t>
      </w:r>
      <w:r w:rsidR="00370DC5">
        <w:rPr>
          <w:rFonts w:cstheme="minorHAnsi"/>
          <w:sz w:val="20"/>
          <w:szCs w:val="20"/>
        </w:rPr>
        <w:t xml:space="preserve">      </w:t>
      </w:r>
      <w:r w:rsidRPr="002F12F8">
        <w:rPr>
          <w:rFonts w:cstheme="minorHAnsi"/>
          <w:b/>
          <w:bCs/>
          <w:sz w:val="20"/>
          <w:szCs w:val="20"/>
        </w:rPr>
        <w:t>13</w:t>
      </w:r>
      <w:r w:rsidRPr="00370DC5">
        <w:rPr>
          <w:rFonts w:cstheme="minorHAnsi"/>
          <w:sz w:val="20"/>
          <w:szCs w:val="20"/>
        </w:rPr>
        <w:t xml:space="preserve"> Vestsjælland 2,92 4 </w:t>
      </w:r>
      <w:r w:rsidRPr="00370DC5">
        <w:rPr>
          <w:rFonts w:cstheme="minorHAnsi"/>
          <w:sz w:val="20"/>
          <w:szCs w:val="20"/>
        </w:rPr>
        <w:t xml:space="preserve">   </w:t>
      </w:r>
      <w:r w:rsidRPr="002F12F8">
        <w:rPr>
          <w:rFonts w:cstheme="minorHAnsi"/>
          <w:b/>
          <w:bCs/>
          <w:sz w:val="20"/>
          <w:szCs w:val="20"/>
        </w:rPr>
        <w:t>14</w:t>
      </w:r>
      <w:r w:rsidRPr="00370DC5">
        <w:rPr>
          <w:rFonts w:cstheme="minorHAnsi"/>
          <w:sz w:val="20"/>
          <w:szCs w:val="20"/>
        </w:rPr>
        <w:t xml:space="preserve"> Lolland 5,79 8 </w:t>
      </w:r>
      <w:r w:rsidR="00370DC5" w:rsidRPr="00370DC5">
        <w:rPr>
          <w:rFonts w:cstheme="minorHAnsi"/>
          <w:sz w:val="20"/>
          <w:szCs w:val="20"/>
        </w:rPr>
        <w:t xml:space="preserve">    </w:t>
      </w:r>
      <w:r w:rsidR="00370DC5">
        <w:rPr>
          <w:rFonts w:cstheme="minorHAnsi"/>
          <w:sz w:val="20"/>
          <w:szCs w:val="20"/>
        </w:rPr>
        <w:t xml:space="preserve">  </w:t>
      </w:r>
      <w:r w:rsidR="002F12F8">
        <w:rPr>
          <w:rFonts w:cstheme="minorHAnsi"/>
          <w:sz w:val="20"/>
          <w:szCs w:val="20"/>
        </w:rPr>
        <w:t xml:space="preserve">            </w:t>
      </w:r>
      <w:r w:rsidR="00370DC5">
        <w:rPr>
          <w:rFonts w:cstheme="minorHAnsi"/>
          <w:sz w:val="20"/>
          <w:szCs w:val="20"/>
        </w:rPr>
        <w:t xml:space="preserve"> </w:t>
      </w:r>
      <w:r w:rsidRPr="002F12F8">
        <w:rPr>
          <w:rFonts w:cstheme="minorHAnsi"/>
          <w:b/>
          <w:bCs/>
          <w:sz w:val="20"/>
          <w:szCs w:val="20"/>
        </w:rPr>
        <w:t>15</w:t>
      </w:r>
      <w:r w:rsidRPr="00370DC5">
        <w:rPr>
          <w:rFonts w:cstheme="minorHAnsi"/>
          <w:sz w:val="20"/>
          <w:szCs w:val="20"/>
        </w:rPr>
        <w:t xml:space="preserve"> Falster 2,66 4 </w:t>
      </w:r>
      <w:r w:rsidR="00370DC5" w:rsidRPr="00370DC5">
        <w:rPr>
          <w:rFonts w:cstheme="minorHAnsi"/>
          <w:sz w:val="20"/>
          <w:szCs w:val="20"/>
        </w:rPr>
        <w:t xml:space="preserve">   </w:t>
      </w:r>
      <w:r w:rsidR="00370DC5" w:rsidRPr="00BC44F4">
        <w:rPr>
          <w:rFonts w:cstheme="minorHAnsi"/>
          <w:b/>
          <w:bCs/>
          <w:sz w:val="20"/>
          <w:szCs w:val="20"/>
        </w:rPr>
        <w:t xml:space="preserve"> </w:t>
      </w:r>
      <w:r w:rsidRPr="00BC44F4">
        <w:rPr>
          <w:rFonts w:cstheme="minorHAnsi"/>
          <w:b/>
          <w:bCs/>
          <w:sz w:val="20"/>
          <w:szCs w:val="20"/>
        </w:rPr>
        <w:t>16</w:t>
      </w:r>
      <w:r w:rsidRPr="00370DC5">
        <w:rPr>
          <w:rFonts w:cstheme="minorHAnsi"/>
          <w:sz w:val="20"/>
          <w:szCs w:val="20"/>
        </w:rPr>
        <w:t xml:space="preserve"> Bornholm 1,75 2</w:t>
      </w:r>
      <w:r w:rsidRPr="00370DC5">
        <w:rPr>
          <w:rFonts w:cstheme="minorHAnsi"/>
          <w:b/>
          <w:bCs/>
          <w:sz w:val="20"/>
          <w:szCs w:val="20"/>
        </w:rPr>
        <w:t xml:space="preserve"> </w:t>
      </w:r>
      <w:r w:rsidR="00370DC5" w:rsidRPr="00BC44F4">
        <w:rPr>
          <w:rFonts w:cstheme="minorHAnsi"/>
          <w:b/>
          <w:bCs/>
          <w:sz w:val="20"/>
          <w:szCs w:val="20"/>
          <w:u w:val="single"/>
        </w:rPr>
        <w:t xml:space="preserve">                                                                         </w:t>
      </w:r>
      <w:r w:rsidRPr="00370DC5">
        <w:rPr>
          <w:rFonts w:cstheme="minorHAnsi"/>
          <w:sz w:val="20"/>
          <w:szCs w:val="20"/>
        </w:rPr>
        <w:t xml:space="preserve">Bornholm får ikke tildelt ål hvert år på grund af transportomkostningerne, men bliver til gengæld kompenseret, så Bornholm modtager det antal ål, Tabel 2 foreskriver. Bornholm fik sidste gang tildelt ål i 2019. </w:t>
      </w:r>
      <w:r w:rsidR="00370DC5" w:rsidRPr="00370DC5">
        <w:rPr>
          <w:rFonts w:cstheme="minorHAnsi"/>
          <w:sz w:val="20"/>
          <w:szCs w:val="20"/>
        </w:rPr>
        <w:t xml:space="preserve"> </w:t>
      </w:r>
    </w:p>
    <w:bookmarkEnd w:id="0"/>
    <w:p w14:paraId="532B4491" w14:textId="77777777" w:rsidR="00370DC5" w:rsidRPr="00370DC5" w:rsidRDefault="00370DC5">
      <w:pPr>
        <w:spacing w:after="0" w:line="240" w:lineRule="auto"/>
        <w:rPr>
          <w:rFonts w:cstheme="minorHAnsi"/>
          <w:sz w:val="20"/>
          <w:szCs w:val="20"/>
        </w:rPr>
      </w:pPr>
    </w:p>
    <w:sectPr w:rsidR="00370DC5" w:rsidRPr="00370DC5" w:rsidSect="00D836DC">
      <w:type w:val="continuous"/>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2F"/>
    <w:rsid w:val="002C2729"/>
    <w:rsid w:val="002F12F8"/>
    <w:rsid w:val="00370DC5"/>
    <w:rsid w:val="007C4046"/>
    <w:rsid w:val="0099602F"/>
    <w:rsid w:val="00BC44F4"/>
    <w:rsid w:val="00C31954"/>
    <w:rsid w:val="00D83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8AC5"/>
  <w15:chartTrackingRefBased/>
  <w15:docId w15:val="{3CA51DBD-14A9-444E-85B1-B3EC7D6E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0805">
      <w:bodyDiv w:val="1"/>
      <w:marLeft w:val="0"/>
      <w:marRight w:val="0"/>
      <w:marTop w:val="0"/>
      <w:marBottom w:val="0"/>
      <w:divBdr>
        <w:top w:val="none" w:sz="0" w:space="0" w:color="auto"/>
        <w:left w:val="none" w:sz="0" w:space="0" w:color="auto"/>
        <w:bottom w:val="none" w:sz="0" w:space="0" w:color="auto"/>
        <w:right w:val="none" w:sz="0" w:space="0" w:color="auto"/>
      </w:divBdr>
      <w:divsChild>
        <w:div w:id="101342418">
          <w:marLeft w:val="0"/>
          <w:marRight w:val="0"/>
          <w:marTop w:val="0"/>
          <w:marBottom w:val="0"/>
          <w:divBdr>
            <w:top w:val="none" w:sz="0" w:space="0" w:color="auto"/>
            <w:left w:val="none" w:sz="0" w:space="0" w:color="auto"/>
            <w:bottom w:val="none" w:sz="0" w:space="0" w:color="auto"/>
            <w:right w:val="none" w:sz="0" w:space="0" w:color="auto"/>
          </w:divBdr>
          <w:divsChild>
            <w:div w:id="1385370185">
              <w:marLeft w:val="0"/>
              <w:marRight w:val="150"/>
              <w:marTop w:val="75"/>
              <w:marBottom w:val="0"/>
              <w:divBdr>
                <w:top w:val="none" w:sz="0" w:space="0" w:color="auto"/>
                <w:left w:val="none" w:sz="0" w:space="0" w:color="auto"/>
                <w:bottom w:val="none" w:sz="0" w:space="0" w:color="auto"/>
                <w:right w:val="none" w:sz="0" w:space="0" w:color="auto"/>
              </w:divBdr>
            </w:div>
            <w:div w:id="613294588">
              <w:marLeft w:val="0"/>
              <w:marRight w:val="150"/>
              <w:marTop w:val="75"/>
              <w:marBottom w:val="0"/>
              <w:divBdr>
                <w:top w:val="none" w:sz="0" w:space="0" w:color="auto"/>
                <w:left w:val="none" w:sz="0" w:space="0" w:color="auto"/>
                <w:bottom w:val="none" w:sz="0" w:space="0" w:color="auto"/>
                <w:right w:val="none" w:sz="0" w:space="0" w:color="auto"/>
              </w:divBdr>
              <w:divsChild>
                <w:div w:id="2046708248">
                  <w:marLeft w:val="0"/>
                  <w:marRight w:val="150"/>
                  <w:marTop w:val="0"/>
                  <w:marBottom w:val="0"/>
                  <w:divBdr>
                    <w:top w:val="none" w:sz="0" w:space="0" w:color="auto"/>
                    <w:left w:val="none" w:sz="0" w:space="0" w:color="auto"/>
                    <w:bottom w:val="none" w:sz="0" w:space="0" w:color="auto"/>
                    <w:right w:val="none" w:sz="0" w:space="0" w:color="auto"/>
                  </w:divBdr>
                </w:div>
              </w:divsChild>
            </w:div>
            <w:div w:id="1228035500">
              <w:marLeft w:val="0"/>
              <w:marRight w:val="0"/>
              <w:marTop w:val="450"/>
              <w:marBottom w:val="225"/>
              <w:divBdr>
                <w:top w:val="none" w:sz="0" w:space="0" w:color="auto"/>
                <w:left w:val="none" w:sz="0" w:space="0" w:color="auto"/>
                <w:bottom w:val="single" w:sz="6" w:space="15" w:color="EBEBEB"/>
                <w:right w:val="none" w:sz="0" w:space="0" w:color="auto"/>
              </w:divBdr>
            </w:div>
            <w:div w:id="9757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skepleje.dk/-/media/sites/fiskepleje/nyheder/2022/juli/aalehandlingsplan-2022.pdf?la=da&amp;hash=6EA3345913686C8AAE68CFF24654B8F9F4D9FF1E" TargetMode="External"/><Relationship Id="rId5" Type="http://schemas.openxmlformats.org/officeDocument/2006/relationships/hyperlink" Target="https://www.fiskepleje.dk/-/media/sites/fiskepleje/nyheder/2022/juli/aalehandlingsplan-2022.pdf?la=da&amp;hash=6EA3345913686C8AAE68CFF24654B8F9F4D9FF1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691</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2022-07-05T14:10:00Z</dcterms:created>
  <dcterms:modified xsi:type="dcterms:W3CDTF">2022-07-05T14:45:00Z</dcterms:modified>
</cp:coreProperties>
</file>